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6"/>
        <w:ind w:left="0" w:firstLine="0"/>
      </w:pPr>
      <w:r/>
      <w:bookmarkStart w:id="0" w:name="_Hlk103352877"/>
      <w:r/>
      <w:r/>
    </w:p>
    <w:p>
      <w:pPr>
        <w:pStyle w:val="766"/>
        <w:contextualSpacing/>
        <w:ind w:left="6096" w:firstLine="0"/>
        <w:widowControl w:val="off"/>
        <w:tabs>
          <w:tab w:val="left" w:pos="-142" w:leader="none"/>
          <w:tab w:val="left" w:pos="284" w:leader="none"/>
          <w:tab w:val="left" w:pos="1276" w:leader="none"/>
        </w:tabs>
      </w:pPr>
      <w:r>
        <w:rPr>
          <w:bCs/>
          <w:szCs w:val="28"/>
        </w:rPr>
        <w:t xml:space="preserve">Приложение </w:t>
      </w:r>
      <w:r>
        <w:rPr>
          <w:bCs/>
          <w:szCs w:val="28"/>
        </w:rPr>
        <w:t xml:space="preserve">1 </w:t>
      </w:r>
      <w:r>
        <w:rPr>
          <w:bCs/>
          <w:szCs w:val="28"/>
        </w:rPr>
        <w:t xml:space="preserve">к </w:t>
      </w:r>
      <w:r>
        <w:t xml:space="preserve">Политике</w:t>
      </w:r>
      <w:r>
        <w:t xml:space="preserve"> </w:t>
      </w:r>
      <w:r/>
    </w:p>
    <w:p>
      <w:pPr>
        <w:pStyle w:val="766"/>
        <w:contextualSpacing/>
        <w:ind w:left="6096" w:firstLine="0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t xml:space="preserve">в области пожарной </w:t>
      </w:r>
      <w:r>
        <w:t xml:space="preserve">безопасности</w:t>
      </w:r>
      <w:r>
        <w:t xml:space="preserve"> </w:t>
      </w:r>
      <w:r>
        <w:t xml:space="preserve">ПАО «Россети»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6804"/>
        <w:widowControl w:val="off"/>
        <w:tabs>
          <w:tab w:val="left" w:pos="-142" w:leader="none"/>
          <w:tab w:val="left" w:pos="284" w:leader="none"/>
          <w:tab w:val="left" w:pos="1276" w:leader="none"/>
        </w:tabs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</w:pPr>
      <w:r/>
      <w:r/>
    </w:p>
    <w:p>
      <w:pPr>
        <w:pStyle w:val="766"/>
        <w:ind w:left="0"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РУКОВОДЯЩИЕ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УКАЗАНИЯ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</w:r>
    </w:p>
    <w:p>
      <w:pPr>
        <w:pStyle w:val="766"/>
        <w:ind w:left="0"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 </w:t>
      </w:r>
      <w:r>
        <w:rPr>
          <w:b/>
          <w:bCs/>
          <w:sz w:val="32"/>
          <w:szCs w:val="32"/>
        </w:rPr>
        <w:t xml:space="preserve">ПРОЕКТИРОВАНИ</w:t>
      </w:r>
      <w:r>
        <w:rPr>
          <w:b/>
          <w:bCs/>
          <w:sz w:val="32"/>
          <w:szCs w:val="32"/>
        </w:rPr>
        <w:t xml:space="preserve">Ю</w:t>
      </w:r>
      <w:r>
        <w:rPr>
          <w:b/>
          <w:bCs/>
          <w:sz w:val="32"/>
          <w:szCs w:val="32"/>
        </w:rPr>
        <w:t xml:space="preserve"> ПРОТИВОПОЖАРНОЙ ЗАЩИТЫ </w:t>
      </w:r>
      <w:r>
        <w:rPr>
          <w:b/>
          <w:bCs/>
          <w:sz w:val="32"/>
          <w:szCs w:val="32"/>
        </w:rPr>
      </w:r>
    </w:p>
    <w:p>
      <w:pPr>
        <w:pStyle w:val="766"/>
        <w:ind w:left="0"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pStyle w:val="766"/>
        <w:ind w:left="0" w:firstLine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  <w:r>
        <w:rPr>
          <w:b/>
          <w:color w:val="000000"/>
          <w:sz w:val="32"/>
          <w:szCs w:val="32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ind w:left="0" w:firstLine="0"/>
        <w:jc w:val="center"/>
        <w:rPr>
          <w:b/>
          <w:bCs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bCs/>
        </w:rPr>
      </w:pPr>
      <w:r>
        <w:rPr>
          <w:b/>
          <w:szCs w:val="28"/>
        </w:rPr>
      </w:r>
      <w:r>
        <w:rPr>
          <w:b/>
          <w:bCs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66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/>
      <w:bookmarkEnd w:id="0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"1-1" \h \z \u </w:instrText>
      </w:r>
      <w:r>
        <w:rPr>
          <w:sz w:val="28"/>
          <w:szCs w:val="28"/>
        </w:rPr>
        <w:fldChar w:fldCharType="separate"/>
      </w:r>
      <w:r>
        <w:fldChar w:fldCharType="begin"/>
      </w:r>
      <w:r>
        <w:instrText xml:space="preserve"> HYPERLINK \l "_Toc125619795" </w:instrText>
      </w:r>
      <w:r>
        <w:fldChar w:fldCharType="separate"/>
      </w:r>
      <w:r>
        <w:rPr>
          <w:rStyle w:val="861"/>
        </w:rPr>
        <w:t xml:space="preserve">Введение.</w:t>
      </w:r>
      <w:r>
        <w:tab/>
      </w:r>
      <w:r>
        <w:fldChar w:fldCharType="begin"/>
      </w:r>
      <w:r>
        <w:instrText xml:space="preserve"> PAGEREF _Toc125619795 \h </w:instrText>
      </w:r>
      <w:r>
        <w:fldChar w:fldCharType="separate"/>
      </w:r>
      <w:r>
        <w:t xml:space="preserve">3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"_Toc125619796" </w:instrText>
      </w:r>
      <w:r>
        <w:fldChar w:fldCharType="separate"/>
      </w:r>
      <w:r>
        <w:rPr>
          <w:rStyle w:val="861"/>
        </w:rPr>
        <w:t xml:space="preserve">1. Область применения</w:t>
      </w:r>
      <w:r>
        <w:tab/>
      </w:r>
      <w:r>
        <w:fldChar w:fldCharType="begin"/>
      </w:r>
      <w:r>
        <w:instrText xml:space="preserve"> PAGEREF _Toc125619796 \h </w:instrText>
      </w:r>
      <w:r>
        <w:fldChar w:fldCharType="separate"/>
      </w:r>
      <w:r>
        <w:t xml:space="preserve">3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"_Toc125619797" </w:instrText>
      </w:r>
      <w:r>
        <w:fldChar w:fldCharType="separate"/>
      </w:r>
      <w:r>
        <w:rPr>
          <w:rStyle w:val="861"/>
        </w:rPr>
        <w:t xml:space="preserve">2. Нормативные ссылки</w:t>
      </w:r>
      <w:r>
        <w:tab/>
      </w:r>
      <w:r>
        <w:fldChar w:fldCharType="begin"/>
      </w:r>
      <w:r>
        <w:instrText xml:space="preserve"> PAGEREF _Toc125619797 \h </w:instrText>
      </w:r>
      <w:r>
        <w:fldChar w:fldCharType="separate"/>
      </w:r>
      <w:r>
        <w:t xml:space="preserve">3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"_Toc125619798" </w:instrText>
      </w:r>
      <w:r>
        <w:fldChar w:fldCharType="separate"/>
      </w:r>
      <w:r>
        <w:rPr>
          <w:rStyle w:val="861"/>
        </w:rPr>
        <w:t xml:space="preserve">3. Термины и определения, обозначения и сокращения</w:t>
      </w:r>
      <w:r>
        <w:tab/>
      </w:r>
      <w:r>
        <w:fldChar w:fldCharType="begin"/>
      </w:r>
      <w:r>
        <w:instrText xml:space="preserve"> PAGEREF _Toc125619798 \h </w:instrText>
      </w:r>
      <w:r>
        <w:fldChar w:fldCharType="separate"/>
      </w:r>
      <w:r>
        <w:t xml:space="preserve">4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"_Toc125619799" </w:instrText>
      </w:r>
      <w:r>
        <w:fldChar w:fldCharType="separate"/>
      </w:r>
      <w:r>
        <w:rPr>
          <w:rStyle w:val="861"/>
        </w:rPr>
        <w:t xml:space="preserve">4. Общие требования</w:t>
      </w:r>
      <w:r>
        <w:tab/>
      </w:r>
      <w:r>
        <w:fldChar w:fldCharType="begin"/>
      </w:r>
      <w:r>
        <w:instrText xml:space="preserve"> PAGEREF _Toc125619799 \h </w:instrText>
      </w:r>
      <w:r>
        <w:fldChar w:fldCharType="separate"/>
      </w:r>
      <w:r>
        <w:t xml:space="preserve">9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"_Toc125619800" </w:instrText>
      </w:r>
      <w:r>
        <w:fldChar w:fldCharType="separate"/>
      </w:r>
      <w:r>
        <w:rPr>
          <w:rStyle w:val="861"/>
        </w:rPr>
        <w:t xml:space="preserve">5. Противопожарные требования к вентиляционным системам</w:t>
      </w:r>
      <w:r>
        <w:tab/>
      </w:r>
      <w:r>
        <w:fldChar w:fldCharType="begin"/>
      </w:r>
      <w:r>
        <w:instrText xml:space="preserve"> PAGEREF _Toc125619800 \h </w:instrText>
      </w:r>
      <w:r>
        <w:fldChar w:fldCharType="separate"/>
      </w:r>
      <w:r>
        <w:t xml:space="preserve">13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"_Toc125619801" </w:instrText>
      </w:r>
      <w:r>
        <w:fldChar w:fldCharType="separate"/>
      </w:r>
      <w:r>
        <w:rPr>
          <w:rStyle w:val="861"/>
        </w:rPr>
        <w:t xml:space="preserve">6. Противопожарные требования к системам отопления</w:t>
      </w:r>
      <w:r>
        <w:tab/>
      </w:r>
      <w:r>
        <w:fldChar w:fldCharType="begin"/>
      </w:r>
      <w:r>
        <w:instrText xml:space="preserve"> PAGEREF _Toc125619801 \h </w:instrText>
      </w:r>
      <w:r>
        <w:fldChar w:fldCharType="separate"/>
      </w:r>
      <w:r>
        <w:t xml:space="preserve">17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"_Toc125619802" </w:instrText>
      </w:r>
      <w:r>
        <w:fldChar w:fldCharType="separate"/>
      </w:r>
      <w:r>
        <w:rPr>
          <w:rStyle w:val="861"/>
        </w:rPr>
        <w:t xml:space="preserve">7. Требования по прокладке кабельных линий</w:t>
      </w:r>
      <w:r>
        <w:tab/>
      </w:r>
      <w:r>
        <w:fldChar w:fldCharType="begin"/>
      </w:r>
      <w:r>
        <w:instrText xml:space="preserve"> PAGEREF _Toc125619802 \h </w:instrText>
      </w:r>
      <w:r>
        <w:fldChar w:fldCharType="separate"/>
      </w:r>
      <w:r>
        <w:t xml:space="preserve">18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"_Toc125619803" </w:instrText>
      </w:r>
      <w:r>
        <w:fldChar w:fldCharType="separate"/>
      </w:r>
      <w:r>
        <w:rPr>
          <w:rStyle w:val="861"/>
        </w:rPr>
        <w:t xml:space="preserve">8. Распределительные устройства подстанций напряжением 35 кВ и выше</w:t>
      </w:r>
      <w:r>
        <w:tab/>
      </w:r>
      <w:r>
        <w:fldChar w:fldCharType="begin"/>
      </w:r>
      <w:r>
        <w:instrText xml:space="preserve"> PAGEREF _Toc125619803 \h </w:instrText>
      </w:r>
      <w:r>
        <w:fldChar w:fldCharType="separate"/>
      </w:r>
      <w:r>
        <w:t xml:space="preserve">24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"_Toc125619804" </w:instrText>
      </w:r>
      <w:r>
        <w:fldChar w:fldCharType="separate"/>
      </w:r>
      <w:r>
        <w:rPr>
          <w:rStyle w:val="861"/>
        </w:rPr>
        <w:t xml:space="preserve">9. Помещения автоматизированных систем управления технологическим процессом и система централизованного контроля, управления и автоматики</w:t>
      </w:r>
      <w:r>
        <w:tab/>
      </w:r>
      <w:r>
        <w:fldChar w:fldCharType="begin"/>
      </w:r>
      <w:r>
        <w:instrText xml:space="preserve"> PAGEREF _Toc125619804 \h </w:instrText>
      </w:r>
      <w:r>
        <w:fldChar w:fldCharType="separate"/>
      </w:r>
      <w:r>
        <w:t xml:space="preserve">26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"_Toc125619805" </w:instrText>
      </w:r>
      <w:r>
        <w:fldChar w:fldCharType="separate"/>
      </w:r>
      <w:r>
        <w:rPr>
          <w:rStyle w:val="861"/>
        </w:rPr>
        <w:t xml:space="preserve">10. Противопожарное водоснабжение</w:t>
      </w:r>
      <w:r>
        <w:tab/>
      </w:r>
      <w:r>
        <w:fldChar w:fldCharType="begin"/>
      </w:r>
      <w:r>
        <w:instrText xml:space="preserve"> PAGEREF _Toc125619805 \h </w:instrText>
      </w:r>
      <w:r>
        <w:fldChar w:fldCharType="separate"/>
      </w:r>
      <w:r>
        <w:t xml:space="preserve">27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fldChar w:fldCharType="begin"/>
      </w:r>
      <w:r>
        <w:instrText xml:space="preserve"> HYPERLINK \l "_Toc125619806" </w:instrText>
      </w:r>
      <w:r>
        <w:fldChar w:fldCharType="separate"/>
      </w:r>
      <w:r>
        <w:rPr>
          <w:rStyle w:val="861"/>
        </w:rPr>
        <w:t xml:space="preserve">11. Автоматические установки пожаротушения, системы пожарной сигнализации и оповещения</w:t>
      </w:r>
      <w:r>
        <w:tab/>
      </w:r>
      <w:r>
        <w:fldChar w:fldCharType="begin"/>
      </w:r>
      <w:r>
        <w:instrText xml:space="preserve"> PAGEREF _Toc125619806 \h </w:instrText>
      </w:r>
      <w:r>
        <w:fldChar w:fldCharType="separate"/>
      </w:r>
      <w:r>
        <w:t xml:space="preserve">31</w:t>
      </w:r>
      <w:r>
        <w:fldChar w:fldCharType="end"/>
      </w:r>
      <w:r>
        <w:fldChar w:fldCharType="end"/>
      </w: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894"/>
        <w:rPr>
          <w:rFonts w:ascii="Calibri" w:hAnsi="Calibri" w:cs="Times New Roman"/>
          <w:bCs w:val="0"/>
          <w:caps w:val="0"/>
          <w:sz w:val="22"/>
          <w:szCs w:val="22"/>
        </w:rPr>
      </w:pPr>
      <w:r>
        <w:rPr>
          <w:rFonts w:ascii="Calibri" w:hAnsi="Calibri" w:cs="Times New Roman"/>
          <w:bCs w:val="0"/>
          <w:caps w:val="0"/>
          <w:sz w:val="22"/>
          <w:szCs w:val="22"/>
        </w:rPr>
      </w:r>
      <w:r>
        <w:rPr>
          <w:rFonts w:ascii="Calibri" w:hAnsi="Calibri" w:cs="Times New Roman"/>
          <w:bCs w:val="0"/>
          <w:caps w:val="0"/>
          <w:sz w:val="22"/>
          <w:szCs w:val="22"/>
        </w:rPr>
      </w:r>
    </w:p>
    <w:p>
      <w:pPr>
        <w:pStyle w:val="766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ind w:left="0" w:firstLine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pStyle w:val="766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7"/>
        <w:numPr>
          <w:ilvl w:val="0"/>
          <w:numId w:val="0"/>
        </w:numPr>
        <w:ind w:firstLine="709"/>
        <w:spacing w:after="0"/>
      </w:pPr>
      <w:r/>
      <w:bookmarkStart w:id="1" w:name="_Toc99010082"/>
      <w:r/>
      <w:bookmarkStart w:id="2" w:name="_Toc125619795"/>
      <w:r>
        <w:t xml:space="preserve">Введение.</w:t>
      </w:r>
      <w:bookmarkEnd w:id="1"/>
      <w:r/>
      <w:bookmarkEnd w:id="2"/>
      <w:r/>
      <w:r/>
    </w:p>
    <w:p>
      <w:pPr>
        <w:pStyle w:val="766"/>
        <w:contextualSpacing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6"/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Настоящи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руководящие </w:t>
      </w:r>
      <w:r>
        <w:rPr>
          <w:sz w:val="28"/>
          <w:szCs w:val="28"/>
        </w:rPr>
        <w:t xml:space="preserve">указания</w:t>
      </w:r>
      <w:r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 основные требования к проектированию противопожарной защиты новых и реконструируемых энергообъектов и явля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тся основным локальным нормативным правовым актом, регулирующим вопросы проектирования </w:t>
      </w:r>
      <w:r>
        <w:rPr>
          <w:bCs/>
          <w:sz w:val="28"/>
          <w:szCs w:val="28"/>
        </w:rPr>
        <w:t xml:space="preserve">противопожарной защиты объектов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ПАО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Россети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Руководящие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указания</w:t>
      </w:r>
      <w:r>
        <w:rPr>
          <w:sz w:val="28"/>
          <w:szCs w:val="28"/>
        </w:rPr>
        <w:t xml:space="preserve"> следует применять в части, не противоречащей действующим требованиям федеральных нормативн</w:t>
      </w:r>
      <w:r>
        <w:rPr>
          <w:sz w:val="28"/>
          <w:szCs w:val="28"/>
        </w:rPr>
        <w:t xml:space="preserve">ых </w:t>
      </w:r>
      <w:r>
        <w:rPr>
          <w:sz w:val="28"/>
          <w:szCs w:val="28"/>
        </w:rPr>
        <w:t xml:space="preserve">правовых документов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7"/>
        <w:spacing w:after="0"/>
      </w:pPr>
      <w:r/>
      <w:bookmarkStart w:id="3" w:name="_Toc99010083"/>
      <w:r/>
      <w:bookmarkStart w:id="4" w:name="_Toc125619796"/>
      <w:r>
        <w:t xml:space="preserve">Область применения</w:t>
      </w:r>
      <w:bookmarkEnd w:id="3"/>
      <w:r/>
      <w:bookmarkEnd w:id="4"/>
      <w:r/>
      <w:r/>
    </w:p>
    <w:p>
      <w:pPr>
        <w:pStyle w:val="766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spacing w:line="240" w:lineRule="auto"/>
      </w:pPr>
      <w:r>
        <w:t xml:space="preserve">Требования </w:t>
      </w:r>
      <w:r>
        <w:t xml:space="preserve">Руководящих</w:t>
      </w:r>
      <w:r>
        <w:t xml:space="preserve"> </w:t>
      </w:r>
      <w:r>
        <w:t xml:space="preserve">указаний </w:t>
      </w:r>
      <w:r>
        <w:t xml:space="preserve">должны использоваться для формирования заданий на проектирование объектов </w:t>
      </w:r>
      <w:r>
        <w:t xml:space="preserve">ПАО «Россети»</w:t>
      </w:r>
      <w:r>
        <w:t xml:space="preserve">, а также при проверке раздела </w:t>
      </w:r>
      <w:r>
        <w:t xml:space="preserve">проектной документации </w:t>
      </w:r>
      <w:r>
        <w:t xml:space="preserve">«</w:t>
      </w:r>
      <w:r>
        <w:t xml:space="preserve">Мероприятия по обеспечению пожарной безопасности</w:t>
      </w:r>
      <w:r>
        <w:t xml:space="preserve">»</w:t>
      </w:r>
      <w:r>
        <w:t xml:space="preserve"> и разделов, содержащих требования пожарной безопасности согласно п.</w:t>
      </w:r>
      <w:r>
        <w:t xml:space="preserve">4</w:t>
      </w:r>
      <w:r>
        <w:t xml:space="preserve">.6 настоящ</w:t>
      </w:r>
      <w:r>
        <w:t xml:space="preserve">их</w:t>
      </w:r>
      <w:r>
        <w:t xml:space="preserve"> </w:t>
      </w:r>
      <w:r>
        <w:t xml:space="preserve">Руководящих</w:t>
      </w:r>
      <w:r>
        <w:t xml:space="preserve"> </w:t>
      </w:r>
      <w:r>
        <w:t xml:space="preserve">указаний</w:t>
      </w:r>
      <w:r>
        <w:t xml:space="preserve">, проектно-изыскательских работ на проектирование объектов </w:t>
      </w:r>
      <w:r>
        <w:t xml:space="preserve">О</w:t>
      </w:r>
      <w:r>
        <w:t xml:space="preserve">бщества</w:t>
      </w:r>
      <w:r>
        <w:t xml:space="preserve"> структурными подразделениями</w:t>
      </w:r>
      <w:r>
        <w:t xml:space="preserve"> курирующими вопросы:</w:t>
      </w:r>
      <w:r/>
    </w:p>
    <w:p>
      <w:pPr>
        <w:pStyle w:val="766"/>
        <w:numPr>
          <w:ilvl w:val="0"/>
          <w:numId w:val="4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проектирования и реконструкции объектов</w:t>
      </w:r>
      <w:r>
        <w:rPr>
          <w:sz w:val="28"/>
          <w:szCs w:val="28"/>
        </w:rPr>
        <w:t xml:space="preserve"> Общества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4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эксплуатации и ремонта объектов </w:t>
      </w:r>
      <w:r>
        <w:rPr>
          <w:sz w:val="28"/>
          <w:szCs w:val="28"/>
        </w:rPr>
        <w:t xml:space="preserve">Общества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4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пожарной безопасности.</w:t>
      </w:r>
      <w:r>
        <w:rPr>
          <w:sz w:val="28"/>
          <w:szCs w:val="28"/>
        </w:rPr>
      </w:r>
    </w:p>
    <w:p>
      <w:pPr>
        <w:pStyle w:val="766"/>
        <w:numPr>
          <w:ilvl w:val="1"/>
          <w:numId w:val="2"/>
        </w:numPr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настоящ</w:t>
      </w:r>
      <w:r>
        <w:rPr>
          <w:sz w:val="28"/>
          <w:szCs w:val="28"/>
        </w:rPr>
        <w:t xml:space="preserve">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Руководящих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указани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могут использоваться при разработке специальных технических условий.</w:t>
      </w:r>
      <w:r>
        <w:rPr>
          <w:sz w:val="28"/>
          <w:szCs w:val="28"/>
        </w:rPr>
      </w:r>
    </w:p>
    <w:p>
      <w:pPr>
        <w:pStyle w:val="766"/>
        <w:numPr>
          <w:ilvl w:val="1"/>
          <w:numId w:val="2"/>
        </w:numPr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не распространяются на:</w:t>
      </w:r>
      <w:r>
        <w:rPr>
          <w:sz w:val="28"/>
          <w:szCs w:val="28"/>
        </w:rPr>
      </w:r>
    </w:p>
    <w:p>
      <w:pPr>
        <w:pStyle w:val="766"/>
        <w:numPr>
          <w:ilvl w:val="0"/>
          <w:numId w:val="5"/>
        </w:numPr>
        <w:contextualSpacing/>
        <w:ind w:left="0" w:firstLine="709"/>
        <w:jc w:val="both"/>
        <w:widowControl w:val="off"/>
        <w:tabs>
          <w:tab w:val="left" w:pos="0" w:leader="none"/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действующие объекты Общества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5"/>
        </w:numPr>
        <w:contextualSpacing/>
        <w:ind w:left="0" w:firstLine="709"/>
        <w:jc w:val="both"/>
        <w:widowControl w:val="off"/>
        <w:tabs>
          <w:tab w:val="left" w:pos="0" w:leader="none"/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проектирование временных зданий и сооружений </w:t>
      </w:r>
      <w:r>
        <w:rPr>
          <w:sz w:val="28"/>
          <w:szCs w:val="28"/>
        </w:rPr>
        <w:t xml:space="preserve">Общества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66"/>
        <w:numPr>
          <w:ilvl w:val="1"/>
          <w:numId w:val="2"/>
        </w:numPr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реконструкции, техническом перевооружении, капитальном ремонте и изменении функционального назначения зданий и сооружений энергообъектов </w:t>
      </w:r>
      <w:r>
        <w:rPr>
          <w:sz w:val="28"/>
          <w:szCs w:val="28"/>
        </w:rPr>
        <w:t xml:space="preserve">Общества</w:t>
      </w:r>
      <w:r>
        <w:rPr>
          <w:sz w:val="28"/>
          <w:szCs w:val="28"/>
        </w:rPr>
        <w:t xml:space="preserve">, система обеспечения пожарной безопасности объектов защиты должна приводиться в соответствие с действующими на момент </w:t>
      </w:r>
      <w:r>
        <w:rPr>
          <w:sz w:val="28"/>
          <w:szCs w:val="28"/>
        </w:rPr>
        <w:t xml:space="preserve">разработки проектной документации для данных работ</w:t>
      </w:r>
      <w:r>
        <w:rPr>
          <w:sz w:val="28"/>
          <w:szCs w:val="28"/>
        </w:rPr>
        <w:t xml:space="preserve"> требованиями федеральных нормативн</w:t>
      </w:r>
      <w:r>
        <w:rPr>
          <w:sz w:val="28"/>
          <w:szCs w:val="28"/>
        </w:rPr>
        <w:t xml:space="preserve">ых </w:t>
      </w:r>
      <w:r>
        <w:rPr>
          <w:sz w:val="28"/>
          <w:szCs w:val="28"/>
        </w:rPr>
        <w:t xml:space="preserve">правовых и нормативных документов.</w:t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7"/>
        <w:spacing w:after="0"/>
      </w:pPr>
      <w:r/>
      <w:bookmarkStart w:id="5" w:name="_Toc99010084"/>
      <w:r/>
      <w:bookmarkStart w:id="6" w:name="_Toc125619797"/>
      <w:r>
        <w:t xml:space="preserve">Нормативные ссылки</w:t>
      </w:r>
      <w:bookmarkEnd w:id="5"/>
      <w:r/>
      <w:bookmarkEnd w:id="6"/>
      <w:r/>
      <w:r/>
    </w:p>
    <w:p>
      <w:pPr>
        <w:pStyle w:val="766"/>
        <w:contextualSpacing/>
        <w:ind w:left="0" w:firstLine="709"/>
        <w:jc w:val="both"/>
        <w:tabs>
          <w:tab w:val="left" w:pos="851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настоящ</w:t>
      </w:r>
      <w:r>
        <w:rPr>
          <w:color w:val="000000"/>
          <w:sz w:val="28"/>
          <w:szCs w:val="28"/>
        </w:rPr>
        <w:t xml:space="preserve">их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Руководящ</w:t>
      </w:r>
      <w:r>
        <w:rPr>
          <w:color w:val="000000"/>
          <w:sz w:val="28"/>
          <w:szCs w:val="28"/>
        </w:rPr>
        <w:t xml:space="preserve">их </w:t>
      </w:r>
      <w:r>
        <w:rPr>
          <w:color w:val="000000"/>
          <w:sz w:val="28"/>
          <w:szCs w:val="28"/>
        </w:rPr>
        <w:t xml:space="preserve">указания</w:t>
      </w:r>
      <w:r>
        <w:rPr>
          <w:color w:val="000000"/>
          <w:sz w:val="28"/>
          <w:szCs w:val="28"/>
        </w:rPr>
        <w:t xml:space="preserve">х </w:t>
      </w:r>
      <w:r>
        <w:rPr>
          <w:color w:val="000000"/>
          <w:sz w:val="28"/>
          <w:szCs w:val="28"/>
        </w:rPr>
        <w:t xml:space="preserve">использованы ссылки на следующие нормативные документы:</w:t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Федеральный закон </w:t>
      </w:r>
      <w:r>
        <w:fldChar w:fldCharType="begin"/>
      </w:r>
      <w:r>
        <w:instrText xml:space="preserve"> HYPERLINK "kodeks://link/d?nd=902111644" \o "\"Технический регламент о требованиях пожарной безопасности (с изменениями на 14 июля 2022 года)\"Федеральный закон от 22.07.2008 N 123-ФЗСтатус: действующая редакция (действ. с 25.07.2022)" </w:instrText>
      </w:r>
      <w:r>
        <w:fldChar w:fldCharType="separate"/>
      </w:r>
      <w:r>
        <w:rPr>
          <w:rStyle w:val="861"/>
          <w:color w:val="0000aa"/>
          <w:sz w:val="28"/>
          <w:szCs w:val="28"/>
        </w:rPr>
        <w:t xml:space="preserve">от 22.07.2</w:t>
      </w:r>
      <w:bookmarkStart w:id="7" w:name="_Hlt136249501"/>
      <w:r/>
      <w:bookmarkStart w:id="8" w:name="_Hlt136249502"/>
      <w:r>
        <w:rPr>
          <w:rStyle w:val="861"/>
          <w:color w:val="0000aa"/>
          <w:sz w:val="28"/>
          <w:szCs w:val="28"/>
        </w:rPr>
        <w:t xml:space="preserve">0</w:t>
      </w:r>
      <w:bookmarkEnd w:id="7"/>
      <w:r/>
      <w:bookmarkEnd w:id="8"/>
      <w:r>
        <w:rPr>
          <w:rStyle w:val="861"/>
          <w:color w:val="0000aa"/>
          <w:sz w:val="28"/>
          <w:szCs w:val="28"/>
        </w:rPr>
        <w:t xml:space="preserve">08 №123</w:t>
      </w:r>
      <w:r>
        <w:rPr>
          <w:rStyle w:val="861"/>
          <w:color w:val="0000aa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-ФЗ Федеральный закон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Технический регламент о требованиях пожарной безопасности</w:t>
      </w:r>
      <w:r>
        <w:rPr>
          <w:color w:val="000000"/>
          <w:sz w:val="28"/>
          <w:szCs w:val="28"/>
        </w:rPr>
        <w:t xml:space="preserve">»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Постановление Правительства Российской Федерации </w:t>
      </w:r>
      <w:r>
        <w:fldChar w:fldCharType="begin"/>
      </w:r>
      <w:r>
        <w:instrText xml:space="preserve"> HY</w:instrText>
      </w:r>
      <w:r>
        <w:instrText xml:space="preserve">PERLINK "kodeks://link/d?nd=902087949" \o "\"О составе разделов проектной документации и требованиях к их содержанию (с изменениями на 27 мая 2022 года)\"Постановление Правительства РФ от 16.02.2008 N 87Статус: действующая редакция (действ. с 01.09.2022)" </w:instrText>
      </w:r>
      <w:r>
        <w:fldChar w:fldCharType="separate"/>
      </w:r>
      <w:r>
        <w:rPr>
          <w:rStyle w:val="861"/>
          <w:color w:val="0000aa"/>
          <w:sz w:val="28"/>
          <w:szCs w:val="28"/>
        </w:rPr>
        <w:t xml:space="preserve">от 16.02.2008 года №87</w:t>
      </w:r>
      <w:r>
        <w:rPr>
          <w:rStyle w:val="861"/>
          <w:color w:val="0000aa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 составе разделов проектной документации и требованиях к их содержанию</w:t>
      </w:r>
      <w:r>
        <w:rPr>
          <w:color w:val="000000"/>
          <w:sz w:val="28"/>
          <w:szCs w:val="28"/>
        </w:rPr>
        <w:t xml:space="preserve">»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Приказ Минэнерго Р</w:t>
      </w:r>
      <w:r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 xml:space="preserve">Ф</w:t>
      </w:r>
      <w:r>
        <w:rPr>
          <w:color w:val="000000"/>
          <w:sz w:val="28"/>
          <w:szCs w:val="28"/>
        </w:rPr>
        <w:t xml:space="preserve">едерации</w:t>
      </w:r>
      <w:r>
        <w:rPr>
          <w:color w:val="000000"/>
          <w:sz w:val="28"/>
          <w:szCs w:val="28"/>
        </w:rPr>
        <w:t xml:space="preserve"> </w:t>
      </w:r>
      <w:r>
        <w:fldChar w:fldCharType="begin"/>
      </w:r>
      <w:r>
        <w:instrText xml:space="preserve"> HYPERLINK "kodeks://link/d?nd=456072457" \o "\"Об утверждении глав Правил устройства электроустановок (не нуждается в госрегистрации)\"Приказ Минэнерго России от 08.07.2002 N 204Статус: действует с 08.07.2002" </w:instrText>
      </w:r>
      <w:r>
        <w:fldChar w:fldCharType="separate"/>
      </w:r>
      <w:r>
        <w:rPr>
          <w:rStyle w:val="861"/>
          <w:color w:val="0000aa"/>
          <w:sz w:val="28"/>
          <w:szCs w:val="28"/>
        </w:rPr>
        <w:t xml:space="preserve">от 08.07.2002 </w:t>
      </w:r>
      <w:r>
        <w:rPr>
          <w:rStyle w:val="861"/>
          <w:color w:val="0000aa"/>
          <w:sz w:val="28"/>
          <w:szCs w:val="28"/>
        </w:rPr>
        <w:t xml:space="preserve">№</w:t>
      </w:r>
      <w:r>
        <w:rPr>
          <w:rStyle w:val="861"/>
          <w:color w:val="0000aa"/>
          <w:sz w:val="28"/>
          <w:szCs w:val="28"/>
        </w:rPr>
        <w:t xml:space="preserve"> 204</w:t>
      </w:r>
      <w:r>
        <w:rPr>
          <w:rStyle w:val="861"/>
          <w:color w:val="0000aa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Об утверждении глав Правил устройства электроустановок</w:t>
      </w:r>
      <w:r>
        <w:rPr>
          <w:color w:val="000000"/>
          <w:sz w:val="28"/>
          <w:szCs w:val="28"/>
        </w:rPr>
        <w:t xml:space="preserve">»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fldChar w:fldCharType="begin"/>
      </w:r>
      <w:r>
        <w:instrText xml:space="preserve"> HYPERLINK "kodeks://link/d?nd</w:instrText>
      </w:r>
      <w:r>
        <w:instrText xml:space="preserve">=1200180684" \o "\"ГОСТ Р 59637-2021 Средства противопожарной защиты зданий и сооружений. Средства ...\"(утв. приказом Росстандарта от 24.08.2021 N 790-ст)Применяется с 15.09.2021Статус: действует с 15.09.2021Применяется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  <w:sz w:val="28"/>
          <w:szCs w:val="28"/>
        </w:rPr>
        <w:t xml:space="preserve">ГОСТ</w:t>
      </w:r>
      <w:r>
        <w:rPr>
          <w:rStyle w:val="861"/>
          <w:color w:val="0000aa"/>
          <w:sz w:val="28"/>
          <w:szCs w:val="28"/>
          <w:lang w:eastAsia="en-US"/>
        </w:rPr>
        <w:t xml:space="preserve"> 59637</w:t>
      </w:r>
      <w:r>
        <w:rPr>
          <w:rStyle w:val="861"/>
          <w:color w:val="0000aa"/>
          <w:sz w:val="28"/>
          <w:szCs w:val="28"/>
          <w:lang w:eastAsia="en-US"/>
        </w:rPr>
        <w:t xml:space="preserve">-2021</w:t>
      </w:r>
      <w:r>
        <w:rPr>
          <w:rStyle w:val="861"/>
          <w:color w:val="0000aa"/>
          <w:sz w:val="28"/>
          <w:szCs w:val="28"/>
          <w:lang w:eastAsia="en-US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Средства противопожарной защиты зданий и сооружений средства огнезащиты. Методы контроля качества огнезащитных работ при монтаже (нанесении), техническом обслуживании и ремонте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bCs/>
          <w:color w:val="000000"/>
          <w:sz w:val="28"/>
          <w:szCs w:val="28"/>
          <w:u w:val="none"/>
          <w:lang w:eastAsia="en-US"/>
        </w:rPr>
      </w:pPr>
      <w:r>
        <w:rPr>
          <w:color w:val="000000"/>
          <w:sz w:val="28"/>
          <w:szCs w:val="28"/>
        </w:rPr>
        <w:t xml:space="preserve">- </w:t>
      </w:r>
      <w:r>
        <w:fldChar w:fldCharType="begin"/>
      </w:r>
      <w:r>
        <w:instrText xml:space="preserve"> HYPERLINK "kodeks://link/d?nd=1200</w:instrText>
      </w:r>
      <w:r>
        <w:instrText xml:space="preserve">136061" \o "\"ГОСТ 12.4.026-2015 Система стандартов безопасности труда (ССБТ). Цвета ...\"(утв. приказом Росстандарта от 10.06.2016 N 614-ст)Применяется с ...Статус: действующая редакция (действ. с 01.01.2021)Применяется для целей технического регламента" </w:instrText>
      </w:r>
      <w:r>
        <w:fldChar w:fldCharType="separate"/>
      </w:r>
      <w:r>
        <w:rPr>
          <w:rStyle w:val="861"/>
          <w:bCs/>
          <w:color w:val="0000aa"/>
          <w:sz w:val="28"/>
          <w:szCs w:val="28"/>
          <w:lang w:eastAsia="en-US"/>
        </w:rPr>
        <w:t xml:space="preserve">ГОСТ 12.4.026</w:t>
      </w:r>
      <w:r>
        <w:rPr>
          <w:rStyle w:val="861"/>
          <w:bCs/>
          <w:color w:val="0000aa"/>
          <w:sz w:val="28"/>
          <w:szCs w:val="28"/>
          <w:lang w:eastAsia="en-US"/>
        </w:rPr>
        <w:t xml:space="preserve">-2015</w:t>
      </w:r>
      <w:r>
        <w:rPr>
          <w:rStyle w:val="861"/>
          <w:bCs/>
          <w:color w:val="0000aa"/>
          <w:sz w:val="28"/>
          <w:szCs w:val="28"/>
          <w:lang w:eastAsia="en-US"/>
        </w:rPr>
        <w:fldChar w:fldCharType="end"/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 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;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bCs/>
          <w:color w:val="000000"/>
          <w:sz w:val="28"/>
          <w:szCs w:val="28"/>
          <w:u w:val="none"/>
          <w:lang w:eastAsia="en-US"/>
        </w:rPr>
      </w:pP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- </w:t>
      </w:r>
      <w:r>
        <w:fldChar w:fldCharType="begin"/>
      </w:r>
      <w:r>
        <w:instrText xml:space="preserve"> HYPERLINK "kodeks://link/d?nd=56524896</w:instrText>
      </w:r>
      <w:r>
        <w:instrText xml:space="preserve">1" \o "\"СП 1.13130.2020 Системы противопожарной защиты. Эвакуационные пути и ...\"(утв. приказом МЧС России от 19.03.2020 N 194)Свод правил от 19.03.2020 ...Статус: действующая редакция (действ. с 19.09.2020)Применяется для целей технического регламента" </w:instrText>
      </w:r>
      <w:r>
        <w:fldChar w:fldCharType="separate"/>
      </w:r>
      <w:r>
        <w:rPr>
          <w:rStyle w:val="861"/>
          <w:bCs/>
          <w:color w:val="0000aa"/>
          <w:sz w:val="28"/>
          <w:szCs w:val="28"/>
          <w:lang w:eastAsia="en-US"/>
        </w:rPr>
        <w:t xml:space="preserve">СП 1.13130.2020</w:t>
      </w:r>
      <w:r>
        <w:rPr>
          <w:rStyle w:val="861"/>
          <w:bCs/>
          <w:color w:val="0000aa"/>
          <w:sz w:val="28"/>
          <w:szCs w:val="28"/>
          <w:lang w:eastAsia="en-US"/>
        </w:rPr>
        <w:fldChar w:fldCharType="end"/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 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«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Системы противопожарной защиты. Эвакуационные пути и выходы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»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  <w:t xml:space="preserve">;</w:t>
      </w:r>
      <w:r>
        <w:rPr>
          <w:rStyle w:val="861"/>
          <w:bCs/>
          <w:color w:val="000000"/>
          <w:sz w:val="28"/>
          <w:szCs w:val="28"/>
          <w:u w:val="none"/>
          <w:lang w:eastAsia="en-US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</w:pPr>
      <w:r>
        <w:rPr>
          <w:color w:val="000000"/>
          <w:sz w:val="28"/>
          <w:szCs w:val="28"/>
        </w:rPr>
        <w:t xml:space="preserve">- </w:t>
      </w:r>
      <w:r>
        <w:fldChar w:fldCharType="begin"/>
      </w:r>
      <w:r>
        <w:instrText xml:space="preserve"> HYPERLINK "kodeks://link/d?nd=12</w:instrText>
      </w:r>
      <w:r>
        <w:instrText xml:space="preserve">00101754" \o "\"ГОСТ 31565-2012 Кабельные изделия. Требования пожарной безопасности ...\"(утв. приказом Росстандарта от 22.11.2012 N 1097-ст)Применяется с ...Статус: действующая редакция (действ. с 01.01.2014)Применяется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ГОСТ 31565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-2012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fldChar w:fldCharType="end"/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 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Кабельные изделия. Требования пожарной безопасности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;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</w:pP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- </w:t>
      </w:r>
      <w:r>
        <w:fldChar w:fldCharType="begin"/>
      </w:r>
      <w:r>
        <w:instrText xml:space="preserve"> HYPERLINK "kodeks://link/d?nd=120007327</w:instrText>
      </w:r>
      <w:r>
        <w:instrText xml:space="preserve">0" \o "\"ГОСТ Р 53311-2009 Покрытия кабельные огнезащитные. Методы определения ...\"(утв. приказом Росстандарта от 18.02.2009 N 87-ст)Применяется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ГОСТ Р 53311-2009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fldChar w:fldCharType="end"/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 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«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Покрытия кабельные огнезащитные. Методы определения огнезащитной эффективности;</w:t>
      </w: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rFonts w:eastAsia="Calibri"/>
          <w:bCs/>
          <w:color w:val="000000"/>
          <w:sz w:val="28"/>
          <w:szCs w:val="28"/>
          <w:u w:val="none"/>
          <w:lang w:eastAsia="en-US"/>
        </w:rPr>
      </w:pPr>
      <w:r>
        <w:rPr>
          <w:rStyle w:val="861"/>
          <w:rFonts w:eastAsia="Calibri"/>
          <w:color w:val="000000"/>
          <w:sz w:val="28"/>
          <w:szCs w:val="28"/>
          <w:u w:val="none"/>
          <w:lang w:eastAsia="en-US"/>
        </w:rPr>
        <w:t xml:space="preserve">- </w:t>
      </w:r>
      <w:r>
        <w:fldChar w:fldCharType="begin"/>
      </w:r>
      <w:r>
        <w:instrText xml:space="preserve"> HYPERLINK "kodeks://link/d?nd=</w:instrText>
      </w:r>
      <w:r>
        <w:instrText xml:space="preserve">1200071926" \o "\"ГОСТ Р 53326-2009 Техника пожарная. Установки пожаротушения ...\"(утв. приказом Росстандарта от 18.02.2009 N 102-ст)Применяется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bCs/>
          <w:color w:val="0000aa"/>
          <w:sz w:val="28"/>
          <w:szCs w:val="28"/>
          <w:lang w:eastAsia="en-US"/>
        </w:rPr>
        <w:t xml:space="preserve">ГОСТ Р 53326</w:t>
      </w:r>
      <w:r>
        <w:rPr>
          <w:rStyle w:val="861"/>
          <w:rFonts w:eastAsia="Calibri"/>
          <w:bCs/>
          <w:color w:val="0000aa"/>
          <w:sz w:val="28"/>
          <w:szCs w:val="28"/>
          <w:lang w:eastAsia="en-US"/>
        </w:rPr>
        <w:t xml:space="preserve">-2009</w:t>
      </w:r>
      <w:r>
        <w:rPr>
          <w:rStyle w:val="861"/>
          <w:rFonts w:eastAsia="Calibri"/>
          <w:bCs/>
          <w:color w:val="0000aa"/>
          <w:sz w:val="28"/>
          <w:szCs w:val="28"/>
          <w:lang w:eastAsia="en-US"/>
        </w:rPr>
        <w:fldChar w:fldCharType="end"/>
      </w:r>
      <w:r>
        <w:rPr>
          <w:rStyle w:val="861"/>
          <w:rFonts w:eastAsia="Calibri"/>
          <w:bCs/>
          <w:color w:val="000000"/>
          <w:sz w:val="28"/>
          <w:szCs w:val="28"/>
          <w:u w:val="none"/>
          <w:lang w:eastAsia="en-US"/>
        </w:rPr>
        <w:t xml:space="preserve"> </w:t>
      </w:r>
      <w:r>
        <w:rPr>
          <w:rStyle w:val="861"/>
          <w:rFonts w:eastAsia="Calibri"/>
          <w:bCs/>
          <w:color w:val="000000"/>
          <w:sz w:val="28"/>
          <w:szCs w:val="28"/>
          <w:u w:val="none"/>
          <w:lang w:eastAsia="en-US"/>
        </w:rPr>
        <w:t xml:space="preserve">«</w:t>
      </w:r>
      <w:r>
        <w:rPr>
          <w:color w:val="000000"/>
          <w:sz w:val="28"/>
          <w:szCs w:val="28"/>
          <w:shd w:val="clear" w:color="auto" w:fill="fbfbfb"/>
        </w:rPr>
        <w:t xml:space="preserve">Техника пожарная. Установки пожаротушения роботизированные. Общие технические требования. Методы испытаний</w:t>
      </w:r>
      <w:r>
        <w:rPr>
          <w:rStyle w:val="861"/>
          <w:rFonts w:eastAsia="Calibri"/>
          <w:bCs/>
          <w:color w:val="000000"/>
          <w:sz w:val="28"/>
          <w:szCs w:val="28"/>
          <w:u w:val="none"/>
          <w:lang w:eastAsia="en-US"/>
        </w:rPr>
        <w:t xml:space="preserve">;</w:t>
      </w:r>
      <w:r>
        <w:rPr>
          <w:rStyle w:val="861"/>
          <w:rFonts w:eastAsia="Calibri"/>
          <w:bCs/>
          <w:color w:val="000000"/>
          <w:sz w:val="28"/>
          <w:szCs w:val="28"/>
          <w:u w:val="none"/>
          <w:lang w:eastAsia="en-US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rStyle w:val="861"/>
          <w:color w:val="000000"/>
          <w:sz w:val="28"/>
          <w:szCs w:val="28"/>
          <w:u w:val="none"/>
        </w:rPr>
      </w:pPr>
      <w:r>
        <w:rPr>
          <w:color w:val="000000"/>
          <w:sz w:val="28"/>
          <w:szCs w:val="28"/>
        </w:rPr>
        <w:t xml:space="preserve">- </w:t>
      </w:r>
      <w:r>
        <w:fldChar w:fldCharType="begin"/>
      </w:r>
      <w:r>
        <w:instrText xml:space="preserve"> HYPERLINK "kodeks://link</w:instrText>
      </w:r>
      <w:r>
        <w:instrText xml:space="preserve">/d?nd=1200001394" \o "\"ГОСТ 27331-87 (СТ СЭВ 5637-86) Пожарная техника. Классификация пожаров.\"(утв. постановлением Госстандарта СССР от 23.06.1987 N 2246)Применяется с 01.01.1988Статус: действующая редакцияПрименяется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  <w:sz w:val="28"/>
          <w:szCs w:val="28"/>
        </w:rPr>
        <w:t xml:space="preserve">ГОСТ 27331</w:t>
      </w:r>
      <w:r>
        <w:rPr>
          <w:rStyle w:val="861"/>
          <w:color w:val="0000aa"/>
          <w:sz w:val="28"/>
          <w:szCs w:val="28"/>
        </w:rPr>
        <w:t xml:space="preserve">-87</w:t>
      </w:r>
      <w:r>
        <w:rPr>
          <w:rStyle w:val="861"/>
          <w:color w:val="0000aa"/>
          <w:sz w:val="28"/>
          <w:szCs w:val="28"/>
        </w:rPr>
        <w:fldChar w:fldCharType="end"/>
      </w:r>
      <w:r>
        <w:rPr>
          <w:rStyle w:val="861"/>
          <w:color w:val="000000"/>
          <w:sz w:val="28"/>
          <w:szCs w:val="28"/>
          <w:u w:val="none"/>
        </w:rPr>
        <w:t xml:space="preserve"> (СТ СЭВ 5637-86)</w:t>
      </w:r>
      <w:r>
        <w:rPr>
          <w:rStyle w:val="861"/>
          <w:color w:val="000000"/>
          <w:sz w:val="28"/>
          <w:szCs w:val="28"/>
          <w:u w:val="none"/>
        </w:rPr>
        <w:t xml:space="preserve"> </w:t>
      </w:r>
      <w:r>
        <w:rPr>
          <w:rStyle w:val="861"/>
          <w:color w:val="000000"/>
          <w:sz w:val="28"/>
          <w:szCs w:val="28"/>
          <w:u w:val="none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Пожарная техника Классификация пожаров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rStyle w:val="861"/>
          <w:color w:val="000000"/>
          <w:sz w:val="28"/>
          <w:szCs w:val="28"/>
          <w:u w:val="none"/>
        </w:rPr>
        <w:t xml:space="preserve">;</w:t>
      </w:r>
      <w:r>
        <w:rPr>
          <w:rStyle w:val="861"/>
          <w:color w:val="000000"/>
          <w:sz w:val="28"/>
          <w:szCs w:val="28"/>
          <w:u w:val="none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  <w:shd w:val="clear" w:color="auto" w:fill="ffffff"/>
        </w:rPr>
      </w:pPr>
      <w:r>
        <w:rPr>
          <w:rStyle w:val="861"/>
          <w:color w:val="000000"/>
          <w:sz w:val="28"/>
          <w:szCs w:val="28"/>
          <w:u w:val="none"/>
        </w:rPr>
        <w:t xml:space="preserve">- </w:t>
      </w:r>
      <w:r>
        <w:fldChar w:fldCharType="begin"/>
      </w:r>
      <w:r>
        <w:instrText xml:space="preserve"> HYPERLINK "kodeks://link/d?nd=1200030</w:instrText>
      </w:r>
      <w:r>
        <w:instrText xml:space="preserve">317" \o "\"ГОСТ Р 51043-2002 Установки водяного и пенного пожаротушения ...\"(утв. постановлением Госстандарта России от 25.07.2002 N 287-ст)Применяется с ...Статус: действующая редакция (действ. с 01.02.2020)Применяется для целей технического регламента" </w:instrText>
      </w:r>
      <w:r>
        <w:fldChar w:fldCharType="separate"/>
      </w:r>
      <w:r>
        <w:rPr>
          <w:rStyle w:val="861"/>
          <w:bCs/>
          <w:color w:val="0000aa"/>
          <w:sz w:val="28"/>
          <w:szCs w:val="28"/>
        </w:rPr>
        <w:t xml:space="preserve">ГОСТ Р 51043</w:t>
      </w:r>
      <w:r>
        <w:rPr>
          <w:rStyle w:val="861"/>
          <w:bCs/>
          <w:color w:val="0000aa"/>
          <w:sz w:val="28"/>
          <w:szCs w:val="28"/>
        </w:rPr>
        <w:t xml:space="preserve">-2002</w:t>
      </w:r>
      <w:r>
        <w:rPr>
          <w:rStyle w:val="861"/>
          <w:bCs/>
          <w:color w:val="0000aa"/>
          <w:sz w:val="28"/>
          <w:szCs w:val="28"/>
        </w:rPr>
        <w:fldChar w:fldCharType="end"/>
      </w:r>
      <w:r>
        <w:rPr>
          <w:rStyle w:val="861"/>
          <w:bCs/>
          <w:color w:val="000000"/>
          <w:sz w:val="28"/>
          <w:szCs w:val="28"/>
          <w:u w:val="none"/>
        </w:rPr>
        <w:t xml:space="preserve"> </w:t>
      </w:r>
      <w:r>
        <w:rPr>
          <w:rStyle w:val="861"/>
          <w:bCs/>
          <w:color w:val="000000"/>
          <w:sz w:val="28"/>
          <w:szCs w:val="28"/>
          <w:u w:val="none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Установки водяного и пенного пожаротушения автоматические оросители. Общие технические требования Методы испытаний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color w:val="000000"/>
          <w:sz w:val="28"/>
          <w:szCs w:val="28"/>
          <w:shd w:val="clear" w:color="auto" w:fill="ffffff"/>
        </w:rPr>
        <w:t xml:space="preserve">.</w:t>
      </w:r>
      <w:r>
        <w:rPr>
          <w:color w:val="000000"/>
          <w:sz w:val="28"/>
          <w:szCs w:val="28"/>
          <w:shd w:val="clear" w:color="auto" w:fill="ffffff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fldChar w:fldCharType="begin"/>
      </w:r>
      <w:r>
        <w:instrText xml:space="preserve"> HYPERLINK "kodeks://link/d?nd=</w:instrText>
      </w:r>
      <w:r>
        <w:instrText xml:space="preserve">1200006830" \o "\"ГОСТ Р 50680-94 Установки водяного пожаротушения автоматические. Общие ...\"(утв. постановлением Госстандарта России от 20.06.1994 N 175)Применяется с 01.01.1995Статус: действует с 01.01.1995Применяется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ГОСТ Р 50680</w:t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-94</w:t>
      </w:r>
      <w:r>
        <w:rPr>
          <w:rStyle w:val="861"/>
          <w:color w:val="0000aa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Установки водяного пожаротушения автоматические. Общие технические требования. Методы испытаний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color w:val="000000"/>
          <w:sz w:val="28"/>
          <w:szCs w:val="28"/>
          <w:shd w:val="clear" w:color="auto" w:fill="ffffff"/>
        </w:rPr>
        <w:t xml:space="preserve">.</w:t>
      </w:r>
      <w:r>
        <w:rPr>
          <w:color w:val="000000"/>
          <w:sz w:val="28"/>
          <w:szCs w:val="28"/>
          <w:shd w:val="clear" w:color="auto" w:fill="ffffff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fldChar w:fldCharType="begin"/>
      </w:r>
      <w:r>
        <w:instrText xml:space="preserve"> HYPERLINK "kodeks://link/d?nd=1200</w:instrText>
      </w:r>
      <w:r>
        <w:instrText xml:space="preserve">006829" \o "\"ГОСТ Р 50800-95 Установки пенного пожаротушения автоматические. Общие технические ...\"(утв. постановлением Госстандарта России от 05.07.1995 N 347)Применяется с ...Статус: действует с 01.01.1996Применяется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ГОСТ Р 50800</w:t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-95</w:t>
      </w:r>
      <w:r>
        <w:rPr>
          <w:rStyle w:val="861"/>
          <w:color w:val="0000aa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Установки пенного пожаротушения автоматические. Общие технические требования. Методы испытании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color w:val="000000"/>
          <w:sz w:val="28"/>
          <w:szCs w:val="28"/>
          <w:shd w:val="clear" w:color="auto" w:fill="ffffff"/>
        </w:rPr>
        <w:t xml:space="preserve">.</w:t>
      </w:r>
      <w:r>
        <w:rPr>
          <w:color w:val="000000"/>
          <w:sz w:val="28"/>
          <w:szCs w:val="28"/>
          <w:shd w:val="clear" w:color="auto" w:fill="ffffff"/>
        </w:rPr>
      </w:r>
    </w:p>
    <w:p>
      <w:pPr>
        <w:pStyle w:val="766"/>
        <w:ind w:left="0" w:firstLine="709"/>
        <w:jc w:val="both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fldChar w:fldCharType="begin"/>
      </w:r>
      <w:r>
        <w:instrText xml:space="preserve"> HYPERLINK "kode</w:instrText>
      </w:r>
      <w:r>
        <w:instrText xml:space="preserve">ks://link/d?nd=5200289" \o "\"ГОСТ 12.1.030-81 Система стандартов безопасности труда (ССБТ) ...\"(утв. постановлением Госстандарта СССР от 15.05.1981 N 2404)Применяется с 01.07.1982Статус: действующая редакцияПрименяется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ГОСТ 12.1.030</w:t>
      </w:r>
      <w:r>
        <w:rPr>
          <w:rStyle w:val="861"/>
          <w:color w:val="0000aa"/>
          <w:sz w:val="28"/>
          <w:szCs w:val="28"/>
          <w:shd w:val="clear" w:color="auto" w:fill="ffffff"/>
        </w:rPr>
        <w:t xml:space="preserve">-81</w:t>
      </w:r>
      <w:r>
        <w:rPr>
          <w:rStyle w:val="861"/>
          <w:color w:val="0000aa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</w:t>
      </w:r>
      <w:r>
        <w:rPr>
          <w:color w:val="000000"/>
          <w:sz w:val="28"/>
          <w:szCs w:val="28"/>
          <w:shd w:val="clear" w:color="auto" w:fill="ffffff"/>
        </w:rPr>
        <w:t xml:space="preserve">Система стандартов безопасности труда (ССБТ). Электробезопасность. Защитное заземление. Зануление</w:t>
      </w:r>
      <w:r>
        <w:rPr>
          <w:color w:val="000000"/>
          <w:sz w:val="28"/>
          <w:szCs w:val="28"/>
          <w:shd w:val="clear" w:color="auto" w:fill="ffffff"/>
        </w:rPr>
        <w:t xml:space="preserve">»</w:t>
      </w:r>
      <w:r>
        <w:rPr>
          <w:color w:val="000000"/>
          <w:sz w:val="28"/>
          <w:szCs w:val="28"/>
          <w:shd w:val="clear" w:color="auto" w:fill="ffffff"/>
        </w:rPr>
        <w:t xml:space="preserve"> (с Изменением </w:t>
      </w:r>
      <w:r>
        <w:rPr>
          <w:color w:val="000000"/>
          <w:sz w:val="28"/>
          <w:szCs w:val="28"/>
          <w:shd w:val="clear" w:color="auto" w:fill="ffffff"/>
        </w:rPr>
        <w:t xml:space="preserve">№ </w:t>
      </w:r>
      <w:r>
        <w:rPr>
          <w:color w:val="000000"/>
          <w:sz w:val="28"/>
          <w:szCs w:val="28"/>
          <w:shd w:val="clear" w:color="auto" w:fill="ffffff"/>
        </w:rPr>
        <w:t xml:space="preserve">1)</w:t>
      </w:r>
      <w:r>
        <w:rPr>
          <w:color w:val="000000"/>
          <w:sz w:val="28"/>
          <w:szCs w:val="28"/>
          <w:shd w:val="clear" w:color="auto" w:fill="ffffff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</w:pPr>
      <w:r/>
      <w:r/>
    </w:p>
    <w:p>
      <w:pPr>
        <w:pStyle w:val="767"/>
        <w:spacing w:after="0"/>
      </w:pPr>
      <w:r/>
      <w:bookmarkStart w:id="9" w:name="_Toc99010085"/>
      <w:r/>
      <w:bookmarkStart w:id="10" w:name="_Toc125619798"/>
      <w:r>
        <w:t xml:space="preserve">Термины и определения</w:t>
      </w:r>
      <w:r>
        <w:t xml:space="preserve">,</w:t>
      </w:r>
      <w:r>
        <w:t xml:space="preserve"> </w:t>
      </w:r>
      <w:r>
        <w:t xml:space="preserve">обозначения и </w:t>
      </w:r>
      <w:r>
        <w:t xml:space="preserve">сокращения</w:t>
      </w:r>
      <w:bookmarkEnd w:id="9"/>
      <w:r/>
      <w:bookmarkEnd w:id="10"/>
      <w:r/>
      <w:r/>
    </w:p>
    <w:p>
      <w:pPr>
        <w:pStyle w:val="792"/>
        <w:ind w:left="0"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026"/>
        <w:gridCol w:w="6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center"/>
              <w:widowControl w:val="off"/>
              <w:tabs>
                <w:tab w:val="num" w:pos="700" w:leader="none"/>
              </w:tabs>
            </w:pPr>
            <w:r>
              <w:t xml:space="preserve">Термин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center"/>
              <w:widowControl w:val="off"/>
              <w:tabs>
                <w:tab w:val="num" w:pos="700" w:leader="none"/>
              </w:tabs>
            </w:pPr>
            <w:r>
              <w:t xml:space="preserve">Определение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Автоматическая установка пожаротушения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Установка пожаротушения, автоматически срабатывающая при превышении контролируемым фактором (факторами) пожара установленных пороговых значений в защищаемой </w:t>
            </w:r>
            <w:r>
              <w:t xml:space="preserve">зоне, а также обеспечивающая передачу сигнала о пожаре во внешние цепи.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Внутренний противопожарный водопровод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совокупность трубопроводов и технических средств, обеспечивающих подачу </w:t>
            </w:r>
            <w:r>
              <w:t xml:space="preserve">огнетушащего вещества к пожарным </w:t>
            </w:r>
            <w:r>
              <w:t xml:space="preserve">запорным клапанам пожарных кранов и</w:t>
            </w:r>
            <w:r>
              <w:t xml:space="preserve">/</w:t>
            </w:r>
            <w:r>
              <w:t xml:space="preserve">или пожарным запорным клапанам сухотрубов.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Генератор огнетушащего аэрозоля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Устройство для получения огнетушащего аэрозоля с заданными параметрами и его подачи в защищаемое помещение.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Декларация пожарной безопасности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Ф</w:t>
            </w:r>
            <w:r>
              <w:t xml:space="preserve">орма оценки соответствия, содержащая информацию о мерах пожарной безопасности, направленных на обеспечение на объекте защиты нормативного значения пожарного риска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Двойной пол</w:t>
            </w:r>
            <w:r>
              <w:t xml:space="preserve"> (фальшпол)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Полость, ограниченная стенами помещения, междуэтажным перекрытием и полом помещения со съемными плитами (на всей или части площади)</w:t>
            </w:r>
            <w:r>
              <w:t xml:space="preserve">, высотой не более 1,2 м.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Дренчерная установка пожаротушения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Установка пожаротушения, оборудованная </w:t>
            </w:r>
            <w:r>
              <w:t xml:space="preserve">дренчерными</w:t>
            </w:r>
            <w:r>
              <w:t xml:space="preserve"> оросителями или генераторами пены</w:t>
            </w:r>
            <w:r>
              <w:t xml:space="preserve">, при срабатывании которой огнетушащее вещество подается одновременно из всех дренчерных оросителей или распылителей </w:t>
            </w:r>
            <w:r>
              <w:t xml:space="preserve">данной установки, или ее секции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Зона оповещения о пожаре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Территория, часть или части здания или объекта, в которой осуществляется одновременное оповещение людей о пожаре.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Источники наружного противопожарного водоснабжения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Н</w:t>
            </w:r>
            <w:r>
              <w:t xml:space="preserve">аружные водопроводные сети, водные объекты, используемые для целей пожаротушения и противопожарные резервуары.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Кабельные сооружения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Сооружения, специально предназначенное для размещения в нем кабелей, кабельных муфт, а также маслоподпитывающих аппаратов и другого обору</w:t>
            </w:r>
            <w:r>
              <w:t xml:space="preserve">дования, предназначенного для обеспечения нормальной работы маслонаполненных кабельных линий. К кабельным сооружениям относятся: кабельные туннели, каналы, короба, блоки, шахты, этажи, двойные полы, кабельные эстакады, галереи, камеры, подпитывающие пункты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Кабельный канал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Закрытое и заглубленное (частично или полностью) в грунт, пол, перекрытие и т. п. непроходное сооружение, предназначенное для размещения в нем кабелей, укладку, осмотр и ремонт которых возможно производить лишь при снятом перекрытии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Кабельный туннель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З</w:t>
            </w:r>
            <w:r>
              <w:t xml:space="preserve">акрытое сооружение (коридор) с расположенными в нем опорными конструкциями для размещения на них кабелей и кабельных муфт, со свободным проходом по всей длине, позволяющим производить прокладку кабелей, ремонты и осмотры кабельных линий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Кабельная шахта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Вертикальное кабельное</w:t>
            </w:r>
            <w:r>
              <w:t xml:space="preserve"> сооружение (как правило, прямоугольного сечения), у которого высота в несколько раз больше стороны сечения, снабженное скобами или лестницей для передвижения вдоль него людей (проходные шахты) или съемной полностью или частично стенкой (непроходные шахты)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center"/>
              <w:widowControl w:val="off"/>
              <w:tabs>
                <w:tab w:val="num" w:pos="700" w:leader="none"/>
              </w:tabs>
            </w:pPr>
            <w:r/>
            <w:r/>
          </w:p>
          <w:p>
            <w:pPr>
              <w:pStyle w:val="766"/>
              <w:numPr>
                <w:ilvl w:val="2"/>
                <w:numId w:val="0"/>
              </w:numPr>
              <w:jc w:val="center"/>
              <w:widowControl w:val="off"/>
              <w:tabs>
                <w:tab w:val="num" w:pos="700" w:leader="none"/>
              </w:tabs>
            </w:pPr>
            <w:r>
              <w:t xml:space="preserve">Кабельный этаж</w:t>
            </w:r>
            <w:r>
              <w:t xml:space="preserve">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jc w:val="both"/>
              <w:widowControl w:val="off"/>
              <w:tabs>
                <w:tab w:val="num" w:pos="700" w:leader="none"/>
              </w:tabs>
            </w:pPr>
            <w:r>
              <w:t xml:space="preserve">Часть здания</w:t>
            </w:r>
            <w:r>
              <w:t xml:space="preserve"> или сооружения</w:t>
            </w:r>
            <w:r>
              <w:t xml:space="preserve">, ограниченная полом и перекрытием или покрытием, с расстоянием между полом и выступающими частями перекрытия или покрытия не менее 1,8 м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Клапан пожарного крана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Запорный клапан, установленный в системе внутреннего противопожарного водопровода и предназначенный для открытия потока воды в пожарном кране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Насосная стация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Помещение, в котором располагается одна ил</w:t>
            </w:r>
            <w:r>
              <w:t xml:space="preserve">и несколько насосных установок.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Объект капитального строительства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З</w:t>
            </w:r>
            <w:r>
              <w:t xml:space="preserve">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Опасные факторы пожара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Факторы пожара, воздействие которых может привести к травме, отравлению или гибели человека и (или) к материальному ущербу.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Ороситель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Устройство, предназначенное для тушения, локализации или блокирования пожара путем разбрызгивания или распыления воды и/или водных растворов.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Огнезащита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Технические мероприятия, направленные на повышение огнестойкости и (или) снижение пожарной опасности зданий, сооружений, строительных конструкций.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Огнезащитная обработка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Нанесение (монтаж) средства огнезащиты на поверхность объекта огнезащиты в целях повышения огнестойкости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Огнетушащее вещество 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Вещество, обладающее физико-химическими свойствами, позволяющими создать условия для прекращения горения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Пожарная безопасность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Состояние защищенности личности, имущества, общества и государства от пожаров.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Пожарное оборудование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Оборудование, входящее в состав коммуникаций пожаротушения, а также средства технического обслуживания этого оборудования.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Общество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rPr>
                <w:shd w:val="clear" w:color="auto" w:fill="ffffff"/>
              </w:rPr>
              <w:t xml:space="preserve">ПАО «Россети»</w:t>
            </w:r>
            <w:r>
              <w:rPr>
                <w:shd w:val="clear" w:color="auto" w:fill="ffffff"/>
              </w:rP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Оповещатель пожарный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971"/>
              <w:ind w:left="0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средство, предназначенное для оповещения людей о пожаре посредством подачи светового, звукового, речевого сигнала (их комбинации) или иного воздействия на органы чувств человека 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Пожарный гидрант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Устройство для отбора воды из наружного водопровода, применяемое при тушении пожара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Пожарный кран</w:t>
            </w:r>
            <w:r>
              <w:t xml:space="preserve">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С</w:t>
            </w:r>
            <w:r>
              <w:t xml:space="preserve">овокупность технических средств, состоящая</w:t>
            </w:r>
            <w:r>
              <w:t xml:space="preserve"> из </w:t>
            </w:r>
            <w:r>
              <w:t xml:space="preserve">пожарного запорного </w:t>
            </w:r>
            <w:r>
              <w:t xml:space="preserve">клапана, установленного на </w:t>
            </w:r>
            <w:r>
              <w:t xml:space="preserve">отводе стояка или опуска, </w:t>
            </w:r>
            <w:r>
              <w:t xml:space="preserve">пожарного рукава </w:t>
            </w:r>
            <w:r>
              <w:t xml:space="preserve">(рукавной катуш</w:t>
            </w:r>
            <w:r>
              <w:t xml:space="preserve">ки) и ручного пожарного ствола.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Пожарный запорный клапан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Клапан пожарного крана, предназначенный для открытия потока воды на тушение пожара через ручной пожарный ствол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Пожарный шкаф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Вид пожарного инвентаря, предназначенного для размещения и обеспечения сохранности</w:t>
            </w:r>
            <w:r>
              <w:t xml:space="preserve"> </w:t>
            </w:r>
            <w:r>
              <w:t xml:space="preserve">технических средств, применяемых во время пожара.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Предприятие электрических сетей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Филиалы </w:t>
            </w:r>
            <w:r>
              <w:t xml:space="preserve">ПАО</w:t>
            </w:r>
            <w:r>
              <w:t xml:space="preserve"> </w:t>
            </w:r>
            <w:r>
              <w:t xml:space="preserve">«</w:t>
            </w:r>
            <w:r>
              <w:t xml:space="preserve">Россети</w:t>
            </w:r>
            <w:r>
              <w:t xml:space="preserve">»</w:t>
            </w: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Противопожарное водоснабжение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Совокупность инженерно-технических средств и сооружений, обеспечивающих подачу воды для тушения пожара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Пожарный</w:t>
            </w:r>
            <w:r>
              <w:t xml:space="preserve"> резервуар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Инженерное</w:t>
            </w:r>
            <w:r>
              <w:t xml:space="preserve"> сооружение емкостного типа</w:t>
            </w:r>
            <w:r>
              <w:t xml:space="preserve"> с необходимым запасом</w:t>
            </w:r>
            <w:r>
              <w:t xml:space="preserve"> воды</w:t>
            </w:r>
            <w:r>
              <w:t xml:space="preserve"> для тушения пожаров и обустроенное для ее забора пожар</w:t>
            </w:r>
            <w:r>
              <w:t xml:space="preserve">ными автомобилями (мотопомпами)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Проходное кабельное сооружение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0" w:leader="none"/>
              </w:tabs>
            </w:pPr>
            <w:r>
              <w:t xml:space="preserve">Кабельное сооружение, с</w:t>
            </w:r>
            <w:r>
              <w:t xml:space="preserve">пециально предназначенное для размещения в нем кабелей, кабельных муфт, а также маслоподпитывающих аппаратов и другого оборудования </w:t>
            </w:r>
            <w:r>
              <w:t xml:space="preserve">со свободным проходом для персонала по всей длине сооружения</w:t>
            </w:r>
            <w:r>
              <w:t xml:space="preserve">, позволяющим производить прокладку кабелей, ремонты и осмотры кабельных линий (кабельные туннели, </w:t>
            </w:r>
            <w:r>
              <w:t xml:space="preserve">этажи, </w:t>
            </w:r>
            <w:r>
              <w:t xml:space="preserve">закрытые галереи).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У</w:t>
            </w:r>
            <w:r>
              <w:t xml:space="preserve">становка пожаротушения</w:t>
            </w:r>
            <w:r>
              <w:t xml:space="preserve"> роботизированная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Комплекс автоматических устройств, включающий два и более пожарных робота, систему определения координат загорания и устройство программного управления комплексом, соединенных информационным каналом связи и предназначенный для тушения и локализации пожара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Система пожарной сигнализации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Совокупность взаимодействующих технических средств, предназначенных для обнаружения пожара, формирования, сбора, обработки, регистрации и </w:t>
            </w:r>
            <w:r>
              <w:t xml:space="preserve">выдачи в заданном виде сигналов о пожаре, режимах работы системы, другой информации и выдачи (при необходимости) инициирующих сигналов на управление техническими средствами противопожарной защиты, технологическим, электротехническим и другим оборудованием.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Система противодымной защиты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Комплекс организационных мероп</w:t>
            </w:r>
            <w:r>
              <w:t xml:space="preserve">риятий, объемно-планировочных решений, инженерных систем и технических средств, направленных на предотвращение или ограничение опасности задымления зданий и сооружений при пожаре, а также воздействия опасных факторов пожара на людей и материальные ценности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Система противодымной вентиляции вытяжная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Автоматически и дистанционно управляемая вентиляционная система, предназначенная для удаления продуктов горения при пожаре через дымоприемное устройство наружу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  <w:rPr>
                <w:b/>
                <w:bCs/>
              </w:rPr>
            </w:pPr>
            <w:r>
              <w:t xml:space="preserve">Спринклерная установка пожаротушения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Установка</w:t>
            </w:r>
            <w:r>
              <w:t xml:space="preserve"> пожаротушения,</w:t>
            </w:r>
            <w:r>
              <w:t xml:space="preserve"> </w:t>
            </w:r>
            <w:r>
              <w:t xml:space="preserve">оборудованная спринклерными оросителями</w:t>
            </w:r>
            <w:r>
              <w:t xml:space="preserve">, срабатывание которой осуществляется в результате последовательной активации спринклерных оросителей под воздействием на них те</w:t>
            </w:r>
            <w:r>
              <w:t xml:space="preserve">плового потока от очага пожара.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Система оповещения и управления эвакуацией людей при пожаре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Совокупность технических средств, предназначенных для информирования людей о возникновении пожара, необходимости эвакуироваться, путях и очередности эвакуации.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Система противодымной вентиляции приточная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А</w:t>
            </w:r>
            <w:r>
              <w:t xml:space="preserve">втоматически и дистанционно управляемая вентиляционная система, предназначенная для предотвращения при пожа</w:t>
            </w:r>
            <w:r>
              <w:t xml:space="preserve">ре задымления помещений зон безопасности, лестничных клеток, лифтовых шахт, тамбур-шлюзов посредством подачи наружного воздуха и создания в них избыточного давления, а также для ограничения распространения продуктов горения и возмещения объемов их удаления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</w:t>
            </w:r>
            <w:r>
              <w:t xml:space="preserve">истема </w:t>
            </w:r>
            <w:r>
              <w:t xml:space="preserve">противопожарного водоснабжения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Система водоснабжения, обеспечивающая противопожарные нужды.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Степень огнестойкости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Классификационная характеристика зданий, сооружений и пожарных отсеков, определяемая пределами огнестойкости конструкций, применяемых для строительства указанных зданий, сооружений и отсеков.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Требования пожарной безопасности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Трудногорючие (трудносгораемые)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Вещества и материалы, способные гореть в воздухе при воздействии источника зажигания, но не способные самостоятельно гореть после его удаления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026" w:type="dxa"/>
            <w:vAlign w:val="center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Установка пожарной сигнализации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Совокупность технических средств для обнаружения пожара, обработки, представления в заданном виде извещения о пожаре, специальной информации и (или) выдачи команд на включение автоматических установок пожаротушения и технические устройства.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0"/>
        </w:trPr>
        <w:tc>
          <w:tcPr>
            <w:tcW w:w="3026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ind w:firstLine="709"/>
              <w:widowControl w:val="off"/>
              <w:tabs>
                <w:tab w:val="num" w:pos="700" w:leader="none"/>
              </w:tabs>
            </w:pPr>
            <w:r>
              <w:t xml:space="preserve">Электросетевой комплекс   </w:t>
            </w:r>
            <w:r/>
          </w:p>
        </w:tc>
        <w:tc>
          <w:tcPr>
            <w:tcW w:w="6580" w:type="dxa"/>
            <w:vAlign w:val="top"/>
            <w:textDirection w:val="lrTb"/>
            <w:noWrap w:val="false"/>
          </w:tcPr>
          <w:p>
            <w:pPr>
              <w:pStyle w:val="766"/>
              <w:numPr>
                <w:ilvl w:val="2"/>
                <w:numId w:val="0"/>
              </w:numPr>
              <w:jc w:val="both"/>
              <w:widowControl w:val="off"/>
              <w:tabs>
                <w:tab w:val="num" w:pos="700" w:leader="none"/>
              </w:tabs>
            </w:pPr>
            <w:r>
              <w:t xml:space="preserve">Совокупность объектов электросетевого хозяйства, включая объекты ЕНЭС и территориальные распределительные сети</w:t>
            </w:r>
            <w:r/>
          </w:p>
        </w:tc>
      </w:tr>
    </w:tbl>
    <w:p>
      <w:pPr>
        <w:pStyle w:val="766"/>
        <w:ind w:left="0" w:firstLine="709"/>
        <w:jc w:val="both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02"/>
        <w:gridCol w:w="6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W w:w="9606" w:type="dxa"/>
            <w:vAlign w:val="top"/>
            <w:textDirection w:val="lrTb"/>
            <w:noWrap w:val="false"/>
          </w:tcPr>
          <w:p>
            <w:pPr>
              <w:pStyle w:val="766"/>
              <w:ind w:left="0" w:firstLine="709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Принятые сокращения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АСУ ТП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Автоматизированная система управления технологическими процессами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АУП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У</w:t>
            </w:r>
            <w:r>
              <w:t xml:space="preserve">становка</w:t>
            </w:r>
            <w:r>
              <w:t xml:space="preserve"> пожаротушения</w:t>
            </w:r>
            <w:r>
              <w:t xml:space="preserve"> автоматическая</w:t>
            </w:r>
            <w:r/>
          </w:p>
          <w:p>
            <w:pPr>
              <w:pStyle w:val="766"/>
              <w:ind w:left="0" w:firstLine="709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АУВПТ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Автоматическая установка водяного пожаротушения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АУВПТ-ТРВ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Автоматическая установка водяного пожаротушения тонкораспыленной водой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АУГПТ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Автоматическая установка газового пожаротушения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СПС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Система</w:t>
            </w:r>
            <w:r>
              <w:t xml:space="preserve"> пожарной сигнализации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ВЛ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Воздушная линия электропередачи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ГЩУ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Главный щит управления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ЗКПС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Зона контроля пожарной сигнализации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ЗРУ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Закрытое распределительное устройство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КЛ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Кабельная линия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ЛВЖ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Легковоспламеняющиеся жидкости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ЛЭП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Линия электропередачи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МЧС России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НКПВ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Нижний концентрационный предел воспламеняемости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НКПР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Нижний концентрационный предел распространения пламени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ОЗС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Огнезащитный состав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ОКП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Огнезащитное покрытие кабельных линий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ОРД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Организационно-распорядительный документ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ОРУ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Открытое распределительное устройство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Пожарный кран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ПС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Подстанция 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ПТЭ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t xml:space="preserve">Правила технической эксплуатации электрических станций и сетей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ПУЭ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fldChar w:fldCharType="begin"/>
            </w:r>
            <w:r>
              <w:instrText xml:space="preserve"> HYPERLINK "kodeks://link/d?nd=1200003114" \o "\"Правила устройства электроустановок (ПУЭ). Оглавление\" " </w:instrText>
            </w:r>
            <w:r>
              <w:fldChar w:fldCharType="separate"/>
            </w:r>
            <w:r>
              <w:rPr>
                <w:rStyle w:val="861"/>
                <w:bCs/>
                <w:color w:val="e48b00"/>
                <w:lang w:eastAsia="en-US"/>
              </w:rPr>
              <w:t xml:space="preserve">Правила устройства электроустановок</w:t>
            </w:r>
            <w:r>
              <w:rPr>
                <w:rStyle w:val="861"/>
                <w:bCs/>
                <w:color w:val="e48b00"/>
                <w:lang w:eastAsia="en-US"/>
              </w:rPr>
              <w:fldChar w:fldCharType="end"/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РУП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Роботизированные установки пожаротушения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СИЗОД</w:t>
            </w:r>
            <w:r>
              <w:rPr>
                <w:color w:val="000000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Средства индивидуальной защиты органов дыхания</w:t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</w:pPr>
            <w:r>
              <w:t xml:space="preserve">СПС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Система пожарной сигнализации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СППЗ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Система противопожарной защиты</w:t>
            </w:r>
            <w:r>
              <w:rPr>
                <w:bCs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СОУЭ</w:t>
            </w:r>
            <w:r>
              <w:rPr>
                <w:lang w:eastAsia="en-US"/>
              </w:rPr>
            </w:r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Система оповещения и управления эвакуацией людей при пожаре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tabs>
                <w:tab w:val="left" w:pos="1080" w:leader="none"/>
              </w:tabs>
            </w:pPr>
            <w:r>
              <w:t xml:space="preserve">СТУ</w:t>
            </w:r>
            <w:r/>
          </w:p>
        </w:tc>
        <w:tc>
          <w:tcPr>
            <w:tcW w:w="680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both"/>
            </w:pPr>
            <w:r>
              <w:t xml:space="preserve">Специальные технические условия</w:t>
            </w:r>
            <w:r/>
          </w:p>
        </w:tc>
      </w:tr>
    </w:tbl>
    <w:p>
      <w:pPr>
        <w:pStyle w:val="766"/>
        <w:ind w:left="0" w:firstLine="709"/>
        <w:jc w:val="both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pStyle w:val="766"/>
        <w:ind w:left="0" w:firstLine="709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pStyle w:val="766"/>
        <w:ind w:left="0" w:firstLine="709"/>
        <w:jc w:val="both"/>
        <w:widowControl w:val="off"/>
        <w:tabs>
          <w:tab w:val="left" w:pos="709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7"/>
        <w:spacing w:after="0"/>
      </w:pPr>
      <w:r/>
      <w:bookmarkStart w:id="11" w:name="_Toc99010087"/>
      <w:r/>
      <w:bookmarkStart w:id="12" w:name="_Toc125619799"/>
      <w:r/>
      <w:bookmarkStart w:id="13" w:name="Общие_требования"/>
      <w:r>
        <w:t xml:space="preserve">Общие требования</w:t>
      </w:r>
      <w:bookmarkEnd w:id="11"/>
      <w:r/>
      <w:bookmarkEnd w:id="12"/>
      <w:r/>
      <w:r/>
    </w:p>
    <w:p>
      <w:pPr>
        <w:pStyle w:val="766"/>
        <w:contextualSpacing/>
        <w:ind w:left="0" w:firstLine="709"/>
        <w:jc w:val="both"/>
        <w:rPr>
          <w:b/>
          <w:sz w:val="28"/>
          <w:szCs w:val="28"/>
        </w:rPr>
      </w:pPr>
      <w:r/>
      <w:bookmarkEnd w:id="13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1"/>
        </w:numPr>
        <w:ind w:left="0" w:firstLine="709"/>
        <w:spacing w:line="240" w:lineRule="auto"/>
      </w:pPr>
      <w:r>
        <w:t xml:space="preserve">При проектировании зданий и сооружений </w:t>
      </w:r>
      <w:r>
        <w:t xml:space="preserve">Общества</w:t>
      </w:r>
      <w:r>
        <w:t xml:space="preserve"> должны выполняться </w:t>
      </w:r>
      <w:r>
        <w:t xml:space="preserve">требования,</w:t>
      </w:r>
      <w:r>
        <w:t xml:space="preserve"> действующих федеральных нормативных </w:t>
      </w:r>
      <w:r>
        <w:t xml:space="preserve">правовых </w:t>
      </w:r>
      <w:r>
        <w:t xml:space="preserve">документов, ведомственных норм технологического проектирования электросетевых предприятий.</w:t>
      </w:r>
      <w:r/>
    </w:p>
    <w:p>
      <w:pPr>
        <w:pStyle w:val="768"/>
        <w:spacing w:line="240" w:lineRule="auto"/>
      </w:pPr>
      <w:r>
        <w:t xml:space="preserve">Для обеспечения пожарной безопасности зданий и сооружений </w:t>
      </w:r>
      <w:r>
        <w:t xml:space="preserve">Общества</w:t>
      </w:r>
      <w:r>
        <w:t xml:space="preserve"> в проектной документации должны быть обоснованы:</w:t>
      </w:r>
      <w:r/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противопожарный разрыв или </w:t>
      </w:r>
      <w:r>
        <w:rPr>
          <w:sz w:val="28"/>
          <w:szCs w:val="28"/>
        </w:rPr>
        <w:t xml:space="preserve">расстояние от проектируемого здания,</w:t>
      </w:r>
      <w:r>
        <w:rPr>
          <w:sz w:val="28"/>
          <w:szCs w:val="28"/>
        </w:rPr>
        <w:t xml:space="preserve"> или сооружения до ближайшего </w:t>
      </w:r>
      <w:r>
        <w:rPr>
          <w:sz w:val="28"/>
          <w:szCs w:val="28"/>
        </w:rPr>
        <w:t xml:space="preserve">здания, сооружения или наружной установки (для ЛЭП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ЛЭП, размеры охранных зон);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принятое разделение здания или сооружения на пожарные отсеки;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расположение, габариты и протя</w:t>
      </w:r>
      <w:r>
        <w:rPr>
          <w:sz w:val="28"/>
          <w:szCs w:val="28"/>
        </w:rPr>
        <w:t xml:space="preserve">женность путей эвакуации людей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характеристики или параметры систем обнаружения пожара, оповещения и управления эвакуацией людей при пожаре, а также автоматического пожаротушения и систем противодымной защиты;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меры по обеспечению возмож</w:t>
      </w:r>
      <w:r>
        <w:rPr>
          <w:sz w:val="28"/>
          <w:szCs w:val="28"/>
        </w:rPr>
        <w:t xml:space="preserve">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При отсутствии нормативных требований пожарной безопасности к каким-либо объектам на такие объекты проектной орган</w:t>
      </w:r>
      <w:r>
        <w:t xml:space="preserve">изацией должны быть разработаны и в установленном порядке согласованы СТУ, отражающие специфику обеспечения их пожарной безопасности и содержащие комплекс необходимых инженерно-технических и организационных мероприятий по обеспечению пожарной безопасности.</w:t>
      </w:r>
      <w:r/>
    </w:p>
    <w:p>
      <w:pPr>
        <w:pStyle w:val="768"/>
        <w:spacing w:line="240" w:lineRule="auto"/>
      </w:pPr>
      <w:r>
        <w:t xml:space="preserve">Состав разделов проектной документации и их содержание должны соответствовать требованиям Положения о составе разделов проектной </w:t>
      </w:r>
      <w:r>
        <w:t xml:space="preserve">документации и требованиях к их содержанию, утвержденного </w:t>
      </w:r>
      <w:r>
        <w:t xml:space="preserve">п</w:t>
      </w:r>
      <w:r>
        <w:t xml:space="preserve">остановлением Правительства Российской Федерации </w:t>
      </w:r>
      <w:r>
        <w:fldChar w:fldCharType="begin"/>
      </w:r>
      <w:r>
        <w:instrText xml:space="preserve"> HY</w:instrText>
      </w:r>
      <w:r>
        <w:instrText xml:space="preserve">PERLINK "kodeks://link/d?nd=902087949" \o "\"О составе разделов проектной документации и требованиях к их содержанию (с изменениями на 27 мая 2022 года)\"Постановление Правительства РФ от 16.02.2008 N 87Статус: действующая редакция (действ. с 01.09.2022)" </w:instrText>
      </w:r>
      <w:r>
        <w:fldChar w:fldCharType="separate"/>
      </w:r>
      <w:r>
        <w:rPr>
          <w:rStyle w:val="861"/>
          <w:color w:val="000000"/>
        </w:rPr>
        <w:t xml:space="preserve">от 16.02.2008 № 87</w:t>
      </w:r>
      <w:r>
        <w:rPr>
          <w:rStyle w:val="861"/>
          <w:color w:val="000000"/>
        </w:rPr>
        <w:fldChar w:fldCharType="end"/>
      </w:r>
      <w:r>
        <w:t xml:space="preserve"> </w:t>
      </w:r>
      <w:r>
        <w:t xml:space="preserve">«</w:t>
      </w:r>
      <w:r>
        <w:t xml:space="preserve">О составе разделов проектной документации и требованиях к их содержанию</w:t>
      </w:r>
      <w:r>
        <w:t xml:space="preserve">»</w:t>
      </w:r>
      <w:r>
        <w:t xml:space="preserve">.</w:t>
      </w:r>
      <w:r/>
    </w:p>
    <w:p>
      <w:pPr>
        <w:pStyle w:val="768"/>
        <w:spacing w:line="240" w:lineRule="auto"/>
      </w:pPr>
      <w:r>
        <w:t xml:space="preserve">Состав и функциональные характеристики систем обеспечения пожарной безопасности объектов должны быть оформлены в виде самостоятельного раздела проектной документации.</w:t>
      </w:r>
      <w:r/>
    </w:p>
    <w:p>
      <w:pPr>
        <w:pStyle w:val="768"/>
        <w:spacing w:line="240" w:lineRule="auto"/>
      </w:pPr>
      <w:r>
        <w:t xml:space="preserve">Противопожарные мероприятия в обязательном порядке должны содержаться в текстовой части следующих разделов проекта:</w:t>
      </w:r>
      <w:r/>
    </w:p>
    <w:p>
      <w:pPr>
        <w:pStyle w:val="766"/>
        <w:numPr>
          <w:ilvl w:val="0"/>
          <w:numId w:val="13"/>
        </w:numPr>
        <w:contextualSpacing/>
        <w:ind w:left="0" w:firstLine="709"/>
        <w:jc w:val="both"/>
        <w:widowControl w:val="off"/>
        <w:tabs>
          <w:tab w:val="left" w:pos="1134" w:leader="none"/>
          <w:tab w:val="left" w:pos="170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Конструктивные и объемно-планировочные решения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содержащи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обоснование проектных решений и мероприятий, обеспечивающих пожарную безопасность;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3"/>
        </w:numPr>
        <w:contextualSpacing/>
        <w:ind w:left="0" w:firstLine="709"/>
        <w:jc w:val="both"/>
        <w:widowControl w:val="off"/>
        <w:tabs>
          <w:tab w:val="left" w:pos="1134" w:leader="none"/>
          <w:tab w:val="left" w:pos="170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Мероприятия по обеспечению пожарной безопасности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3"/>
        </w:numPr>
        <w:contextualSpacing/>
        <w:ind w:left="0" w:firstLine="709"/>
        <w:jc w:val="both"/>
        <w:widowControl w:val="off"/>
        <w:tabs>
          <w:tab w:val="left" w:pos="1134" w:leader="none"/>
          <w:tab w:val="left" w:pos="1701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Система водоснабжения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технических решений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92"/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Отопление, вентиляция и кондиционирование </w:t>
      </w:r>
      <w:r>
        <w:rPr>
          <w:sz w:val="28"/>
          <w:szCs w:val="28"/>
        </w:rPr>
        <w:t xml:space="preserve">воздуха, тепловые</w:t>
      </w:r>
      <w:r>
        <w:rPr>
          <w:sz w:val="28"/>
          <w:szCs w:val="28"/>
        </w:rPr>
        <w:t xml:space="preserve"> сети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технических решений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Графическая часть раздела проект</w:t>
      </w:r>
      <w:r>
        <w:rPr>
          <w:lang w:val="ru-RU"/>
        </w:rPr>
        <w:t xml:space="preserve">ной документации</w:t>
      </w:r>
      <w:r>
        <w:t xml:space="preserve"> </w:t>
      </w:r>
      <w:r>
        <w:t xml:space="preserve">«</w:t>
      </w:r>
      <w:r>
        <w:t xml:space="preserve">Мероприятия по обеспечению </w:t>
      </w:r>
      <w:r>
        <w:t xml:space="preserve">пожарной безопасности</w:t>
      </w:r>
      <w:r>
        <w:t xml:space="preserve">»</w:t>
      </w:r>
      <w:r>
        <w:t xml:space="preserve"> в обязательном порядке должна содержать:</w:t>
      </w:r>
      <w:r/>
    </w:p>
    <w:p>
      <w:pPr>
        <w:pStyle w:val="766"/>
        <w:numPr>
          <w:ilvl w:val="0"/>
          <w:numId w:val="14"/>
        </w:numPr>
        <w:contextualSpacing/>
        <w:ind w:left="0" w:firstLine="709"/>
        <w:jc w:val="both"/>
        <w:widowControl w:val="off"/>
        <w:tabs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ситуационный план организации земельного участка, предоставленного для размещения объекта капитального строительства, с указанием въезда (вы</w:t>
      </w:r>
      <w:r>
        <w:rPr>
          <w:sz w:val="28"/>
          <w:szCs w:val="28"/>
        </w:rPr>
        <w:t xml:space="preserve">езда) на территорию и путей подъезда к объектам пожарной техники, мест размещения и емкости пожарных резервуаров (при их наличии), схем прокладки наружного противопожарного водопровода, мест размещения пожарных гидрантов и мест размещения насосных станций;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4"/>
        </w:numPr>
        <w:contextualSpacing/>
        <w:ind w:left="0" w:firstLine="709"/>
        <w:jc w:val="both"/>
        <w:widowControl w:val="off"/>
        <w:tabs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схемы эвакуации людей и </w:t>
      </w:r>
      <w:r>
        <w:rPr>
          <w:sz w:val="28"/>
          <w:szCs w:val="28"/>
        </w:rPr>
        <w:t xml:space="preserve">техники</w:t>
      </w:r>
      <w:r>
        <w:rPr>
          <w:sz w:val="28"/>
          <w:szCs w:val="28"/>
        </w:rPr>
        <w:t xml:space="preserve"> из зданий (сооружений) и с прилегающей к зданиям (сооружениям) территории в случае возникновения пожара;</w:t>
      </w:r>
      <w:r>
        <w:rPr>
          <w:sz w:val="28"/>
          <w:szCs w:val="28"/>
        </w:rPr>
      </w:r>
    </w:p>
    <w:p>
      <w:pPr>
        <w:pStyle w:val="792"/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структурные схемы технических систем (средств) противопожарной защиты (автоматических установок пожаротушения, автоматической пожарной сигнализации, внутреннего противопожарного водопровода).</w:t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Категории помещений, зданий и наружных установок по взрывопожарной и пожарной опасности, классы пожароопасных и взрывоопасных зон определяются проектными организациями при проектировании объектов электросетевых предприятий только расчетом в соответстви</w:t>
      </w:r>
      <w:r>
        <w:t xml:space="preserve">и с действующими нормативными документами с учетом проектируемых технологических процессов, используемых технологических сред, геометрических размеров помещений, способов размещения, фактического количества и физико-химических параметров пожарной нагрузки.</w:t>
      </w:r>
      <w:r/>
    </w:p>
    <w:p>
      <w:pPr>
        <w:pStyle w:val="768"/>
        <w:spacing w:line="240" w:lineRule="auto"/>
      </w:pPr>
      <w:r>
        <w:t xml:space="preserve">Декларация пожарной безопасности составляется в отношении объектов защиты </w:t>
      </w:r>
      <w:r>
        <w:t xml:space="preserve">Общества </w:t>
      </w:r>
      <w:r>
        <w:t xml:space="preserve"> (зданий, сооружений, в том числе производственных объектов), </w:t>
      </w:r>
      <w:r>
        <w:t xml:space="preserve">на основании требований Федерального закона </w:t>
      </w:r>
      <w:r>
        <w:fldChar w:fldCharType="begin"/>
      </w:r>
      <w:r>
        <w:instrText xml:space="preserve"> HYPERLINK "kodeks://link/d?nd=902111644" \o "\"Технический регламент о требованиях пожарной безопасности (с изменениями на 14 июля 2022 года)\"Федеральный закон от 22.07.2008 N 123-ФЗСтатус: действующая редакция (действ. с 25.07.2022)" </w:instrText>
      </w:r>
      <w:r>
        <w:fldChar w:fldCharType="separate"/>
      </w:r>
      <w:r>
        <w:rPr>
          <w:rStyle w:val="861"/>
          <w:color w:val="000000"/>
        </w:rPr>
        <w:t xml:space="preserve">от 22.07.2008 №</w:t>
      </w:r>
      <w:r>
        <w:rPr>
          <w:rStyle w:val="861"/>
          <w:color w:val="000000"/>
        </w:rPr>
        <w:t xml:space="preserve"> </w:t>
      </w:r>
      <w:r>
        <w:rPr>
          <w:rStyle w:val="861"/>
          <w:color w:val="000000"/>
        </w:rPr>
        <w:t xml:space="preserve">123</w:t>
      </w:r>
      <w:r>
        <w:rPr>
          <w:rStyle w:val="861"/>
          <w:color w:val="000000"/>
        </w:rPr>
        <w:fldChar w:fldCharType="end"/>
      </w:r>
      <w:r>
        <w:t xml:space="preserve"> </w:t>
      </w:r>
      <w:r>
        <w:t xml:space="preserve">«</w:t>
      </w:r>
      <w:r>
        <w:t xml:space="preserve">Технический регламент о требованиях пожарной безопасности</w:t>
      </w:r>
      <w:r>
        <w:t xml:space="preserve">»</w:t>
      </w:r>
      <w:r>
        <w:t xml:space="preserve"> и согласовывается в установленном порядке</w:t>
      </w:r>
      <w:r>
        <w:t xml:space="preserve">.</w:t>
      </w:r>
      <w:r/>
    </w:p>
    <w:p>
      <w:pPr>
        <w:pStyle w:val="768"/>
        <w:spacing w:line="240" w:lineRule="auto"/>
      </w:pPr>
      <w:r>
        <w:t xml:space="preserve">Объемно-планировочные и конструктивные решения зданий и сооружений должны соответствовать требованиям действующих технических регламентов, федеральных нормативных документов и ведомственных норм технологического проектирования электросетевых предприятий.</w:t>
      </w:r>
      <w:r/>
    </w:p>
    <w:p>
      <w:pPr>
        <w:pStyle w:val="768"/>
        <w:spacing w:line="240" w:lineRule="auto"/>
      </w:pPr>
      <w:r>
        <w:t xml:space="preserve">Степень огнестойкости зданий и сооружений электросетевых предприятий и пределы огнестойкости основных строительных конструкций </w:t>
      </w:r>
      <w:r>
        <w:rPr>
          <w:lang w:val="ru-RU"/>
        </w:rPr>
        <w:t xml:space="preserve">кровель </w:t>
      </w:r>
      <w:r>
        <w:t xml:space="preserve">должны соответствовать требованиям действующих технических регламентов и федеральных нормативных документов.</w:t>
      </w:r>
      <w:r/>
    </w:p>
    <w:p>
      <w:pPr>
        <w:pStyle w:val="768"/>
        <w:spacing w:line="240" w:lineRule="auto"/>
        <w:rPr>
          <w:strike/>
          <w:color w:val="ff0000"/>
        </w:rPr>
      </w:pPr>
      <w:r>
        <w:t xml:space="preserve">Класс пожарной опасности строительных конструкций должен соответствовать принятому классу конструктивной пожарной опасности зданий, сооружений и пожарных отсеков.</w:t>
      </w:r>
      <w:r>
        <w:rPr>
          <w:strike/>
          <w:color w:val="ff0000"/>
        </w:rPr>
      </w:r>
      <w:r>
        <w:rPr>
          <w:strike/>
          <w:color w:val="ff0000"/>
        </w:rPr>
      </w:r>
    </w:p>
    <w:p>
      <w:pPr>
        <w:pStyle w:val="768"/>
        <w:spacing w:line="240" w:lineRule="auto"/>
      </w:pPr>
      <w:r>
        <w:t xml:space="preserve">В проект</w:t>
      </w:r>
      <w:r>
        <w:rPr>
          <w:lang w:val="ru-RU"/>
        </w:rPr>
        <w:t xml:space="preserve">ной документации</w:t>
      </w:r>
      <w:r>
        <w:t xml:space="preserve"> должно быть предусмотрено применение строительных материалов для перекрытий и бесчердачных покрытий кровель зданий и сооружений в зависимости от степени огнестойкости здания, сооружения и пожарного отсека, класса </w:t>
      </w:r>
      <w:r>
        <w:t xml:space="preserve">функциональной </w:t>
      </w:r>
      <w:r>
        <w:t xml:space="preserve">пожарной опасности здания и, при необходимости, подтверждаться соответствующ</w:t>
      </w:r>
      <w:r>
        <w:t xml:space="preserve">ими</w:t>
      </w:r>
      <w:r>
        <w:t xml:space="preserve"> </w:t>
      </w:r>
      <w:r>
        <w:t xml:space="preserve">расчетами</w:t>
      </w:r>
      <w:r>
        <w:t xml:space="preserve">, прилагаем</w:t>
      </w:r>
      <w:r>
        <w:t xml:space="preserve">ыми</w:t>
      </w:r>
      <w:r>
        <w:t xml:space="preserve"> к проекту.</w:t>
      </w:r>
      <w:r/>
    </w:p>
    <w:p>
      <w:pPr>
        <w:pStyle w:val="768"/>
        <w:spacing w:line="240" w:lineRule="auto"/>
      </w:pPr>
      <w:r>
        <w:t xml:space="preserve">При проектировании на кровлях зданий энергообъектов фотогальванической черепицы, элементов солнечной батареи, перекрытия и кровельные материалы конструкций должны быть выполнены из негорючих материалов, а сама строительная конструкци</w:t>
      </w:r>
      <w:r>
        <w:t xml:space="preserve">я кровельного покрытия должна иметь класс пожарной безопасности строительных конструкций - К0, что должно подтверждаться соответствующими расчётами, а и при ее монтаже - испытаниями лабораторией, имеющей соответствующую лицензию на данный вид деятельности.</w:t>
      </w:r>
      <w:r/>
    </w:p>
    <w:p>
      <w:pPr>
        <w:pStyle w:val="768"/>
        <w:spacing w:line="240" w:lineRule="auto"/>
      </w:pPr>
      <w:r>
        <w:t xml:space="preserve">В покрытиях зданий и сооружений ПС из профилированных материалов для фасадов следует применять утеплители</w:t>
      </w:r>
      <w:r>
        <w:t xml:space="preserve">, а также гидро-ветрозащитные и пароизоляционные материалы</w:t>
      </w:r>
      <w:r>
        <w:t xml:space="preserve"> не распространяющие горение (НГ) и не распространяющие пламени по поверхности (РП1).</w:t>
      </w:r>
      <w:r/>
    </w:p>
    <w:p>
      <w:pPr>
        <w:pStyle w:val="768"/>
        <w:spacing w:line="240" w:lineRule="auto"/>
      </w:pPr>
      <w:r>
        <w:t xml:space="preserve">Проклад</w:t>
      </w:r>
      <w:r>
        <w:t xml:space="preserve">ка гибких шинных связей от силовых трансформаторов (автотрансформаторов), расположенных в закрытых камерах, до ОРУ, через кровлю зданий вспомогательного назначения, допускается только при условии применения в покрытиях негорючих и слабогорючих утеплителей.</w:t>
      </w:r>
      <w:r/>
    </w:p>
    <w:p>
      <w:pPr>
        <w:pStyle w:val="768"/>
        <w:spacing w:line="240" w:lineRule="auto"/>
      </w:pPr>
      <w:r>
        <w:t xml:space="preserve">Количество эвакуационных выходов из зданий и помещений и отделку путей эвакуации следует проектировать в соответствии с требованиями действующих технических регламентов и федеральных нормативных документов.</w:t>
      </w:r>
      <w:r/>
    </w:p>
    <w:p>
      <w:pPr>
        <w:pStyle w:val="768"/>
        <w:spacing w:line="240" w:lineRule="auto"/>
      </w:pPr>
      <w:r>
        <w:t xml:space="preserve">Расстояния между зданиями и сооружениями в зависимости от степени их огнестойкости</w:t>
      </w:r>
      <w:r>
        <w:t xml:space="preserve">,</w:t>
      </w:r>
      <w:r>
        <w:t xml:space="preserve"> </w:t>
      </w:r>
      <w:r>
        <w:t xml:space="preserve">класса конструктивной пожарной опасности </w:t>
      </w:r>
      <w:r>
        <w:t xml:space="preserve">и категории по взрывопожарной и пожарной опасности следует принимать в соответствии с требованиями действующих технических регламентов и федеральных нормативных документов</w:t>
      </w:r>
      <w:r>
        <w:t xml:space="preserve"> по пожарной безопасности</w:t>
      </w:r>
      <w:r>
        <w:t xml:space="preserve">.</w:t>
      </w:r>
      <w:r/>
    </w:p>
    <w:p>
      <w:pPr>
        <w:pStyle w:val="768"/>
        <w:spacing w:line="240" w:lineRule="auto"/>
      </w:pPr>
      <w:r>
        <w:t xml:space="preserve">Не допускается в стенах зданий подстанций предусматривать оконные, технологические и вентиляционные проемы в местах установки маслонаполненных трансформаторов, располагаемых на</w:t>
      </w:r>
      <w:r>
        <w:t xml:space="preserve"> расстоянии менее 10 м от стены, </w:t>
      </w:r>
      <w:r>
        <w:t xml:space="preserve">ближе 5 м от контура проекции трансформатора на эту стену.</w:t>
      </w:r>
      <w:r/>
    </w:p>
    <w:p>
      <w:pPr>
        <w:pStyle w:val="768"/>
        <w:spacing w:line="240" w:lineRule="auto"/>
      </w:pPr>
      <w:r>
        <w:t xml:space="preserve">Наружные </w:t>
      </w:r>
      <w:r>
        <w:t xml:space="preserve">металлические пожарные лестницы </w:t>
      </w:r>
      <w:r>
        <w:t xml:space="preserve">следует предусматривать на фасадах зданий подстанций на расстоянии не менее 20 метров от </w:t>
      </w:r>
      <w:r>
        <w:rPr>
          <w:lang w:val="ru-RU"/>
        </w:rPr>
        <w:t xml:space="preserve">трансформаторов, а также </w:t>
      </w:r>
      <w:r>
        <w:t xml:space="preserve">другого электротехнического оборудования</w:t>
      </w:r>
      <w:r>
        <w:rPr>
          <w:lang w:val="ru-RU"/>
        </w:rPr>
        <w:t xml:space="preserve"> открытой установки</w:t>
      </w:r>
      <w:r>
        <w:t xml:space="preserve">, находяще</w:t>
      </w:r>
      <w:r>
        <w:rPr>
          <w:lang w:val="ru-RU"/>
        </w:rPr>
        <w:t xml:space="preserve">гося</w:t>
      </w:r>
      <w:r>
        <w:t xml:space="preserve"> под высоким напряжением.</w:t>
      </w:r>
      <w:r/>
    </w:p>
    <w:p>
      <w:pPr>
        <w:pStyle w:val="768"/>
        <w:spacing w:line="240" w:lineRule="auto"/>
      </w:pPr>
      <w:r>
        <w:t xml:space="preserve">Кабельные сооружения зданий и сооружений</w:t>
      </w:r>
      <w:r>
        <w:t xml:space="preserve"> </w:t>
      </w:r>
      <w:r>
        <w:t xml:space="preserve">Общества</w:t>
      </w:r>
      <w:r>
        <w:t xml:space="preserve"> (туннели, этажи</w:t>
      </w:r>
      <w:r>
        <w:t xml:space="preserve">, закрытые галереи и т.п.) должны иметь строительные конструкции из негорючих материалов с пределом огнестойкости не менее </w:t>
      </w:r>
      <w:r>
        <w:rPr>
          <w:lang w:val="en-US"/>
        </w:rPr>
        <w:t xml:space="preserve">REI</w:t>
      </w:r>
      <w:r>
        <w:t xml:space="preserve"> 45 и отделяться от других </w:t>
      </w:r>
      <w:r>
        <w:rPr>
          <w:lang w:val="ru-RU"/>
        </w:rPr>
        <w:t xml:space="preserve">кабельных </w:t>
      </w:r>
      <w:r>
        <w:t xml:space="preserve">сооружений противопожарными</w:t>
      </w:r>
      <w:r>
        <w:rPr>
          <w:lang w:val="ru-RU"/>
        </w:rPr>
        <w:t xml:space="preserve"> преградами </w:t>
      </w:r>
      <w:r>
        <w:rPr>
          <w:lang w:val="en-US"/>
        </w:rPr>
        <w:t xml:space="preserve">c</w:t>
      </w:r>
      <w:r>
        <w:t xml:space="preserve"> таким же пределом огнестойкости.</w:t>
      </w:r>
      <w:r/>
    </w:p>
    <w:p>
      <w:pPr>
        <w:pStyle w:val="768"/>
        <w:spacing w:line="240" w:lineRule="auto"/>
      </w:pPr>
      <w:r>
        <w:t xml:space="preserve">Не допускается предусматривать прокладку транзитных трубопроводов с горючими и легковоспламеняющимися жидкостями и газами через помещения производственного назначения, в которых не используются эти вещества.</w:t>
      </w:r>
      <w:r/>
    </w:p>
    <w:p>
      <w:pPr>
        <w:pStyle w:val="768"/>
        <w:spacing w:line="240" w:lineRule="auto"/>
      </w:pPr>
      <w:r>
        <w:rPr>
          <w:spacing w:val="-2"/>
        </w:rPr>
        <w:t xml:space="preserve">Необходимо предусматривать уплотнение технологических </w:t>
      </w:r>
      <w:r>
        <w:t xml:space="preserve">проемов в противопожарных преградах</w:t>
      </w:r>
      <w:r>
        <w:rPr>
          <w:b/>
        </w:rPr>
        <w:t xml:space="preserve"> </w:t>
      </w:r>
      <w:r>
        <w:t xml:space="preserve">вокруг технологических и инженерных </w:t>
      </w:r>
      <w:r>
        <w:rPr>
          <w:spacing w:val="1"/>
        </w:rPr>
        <w:t xml:space="preserve">коммуникаций (трубопроводов, вентиляционных коробов, кабельных трасс и т.п.) </w:t>
      </w:r>
      <w:r>
        <w:t xml:space="preserve">негорючими материалами с пределом огнестойкости, не менее предела огнестойкости этих преград</w:t>
      </w:r>
      <w:r>
        <w:rPr>
          <w:spacing w:val="-1"/>
        </w:rPr>
        <w:t xml:space="preserve">.</w:t>
      </w:r>
      <w:r/>
    </w:p>
    <w:p>
      <w:pPr>
        <w:pStyle w:val="768"/>
        <w:spacing w:line="240" w:lineRule="auto"/>
      </w:pPr>
      <w:r>
        <w:t xml:space="preserve">В помещениях для хранения и регенерации масла, а также в помещениях для</w:t>
      </w:r>
      <w:r>
        <w:t xml:space="preserve"> установки силовых трансформаторов (закрытые распределительные устройства, закрытые подстанции и др.) пол следует выполнять с уклоном не менее 0,01 в сторону устройств маслоотвода, а в дверных проемах следует предусматривать пороги высотой не менее 0,15 м.</w:t>
      </w:r>
      <w:r/>
    </w:p>
    <w:p>
      <w:pPr>
        <w:pStyle w:val="792"/>
        <w:ind w:left="0" w:firstLine="709"/>
        <w:jc w:val="both"/>
        <w:tabs>
          <w:tab w:val="left" w:pos="1276" w:leader="none"/>
        </w:tabs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 xml:space="preserve">При использовании гравийной засыпки в этих помещениях или под </w:t>
      </w:r>
      <w:r>
        <w:rPr>
          <w:sz w:val="28"/>
          <w:szCs w:val="28"/>
          <w:lang w:val="en-US" w:eastAsia="en-US"/>
        </w:rPr>
        <w:t xml:space="preserve">оборудованием маслоприемные устройства и маслоотводы выполняются в соответствии с требованиями </w:t>
      </w:r>
      <w:r>
        <w:fldChar w:fldCharType="begin"/>
      </w:r>
      <w:r>
        <w:instrText xml:space="preserve"> HYPERLINK "kodeks://link/d?nd=1200003114" \o "\"Правила устройства электроустановок (ПУЭ). Оглавление\" " </w:instrText>
      </w:r>
      <w:r>
        <w:fldChar w:fldCharType="separate"/>
      </w:r>
      <w:r>
        <w:rPr>
          <w:rStyle w:val="861"/>
          <w:color w:val="000000"/>
          <w:sz w:val="28"/>
          <w:szCs w:val="28"/>
          <w:lang w:val="en-US" w:eastAsia="en-US"/>
        </w:rPr>
        <w:t xml:space="preserve">ПУЭ</w:t>
      </w:r>
      <w:r>
        <w:rPr>
          <w:rStyle w:val="861"/>
          <w:color w:val="000000"/>
          <w:sz w:val="28"/>
          <w:szCs w:val="28"/>
          <w:lang w:val="en-US" w:eastAsia="en-US"/>
        </w:rPr>
        <w:fldChar w:fldCharType="end"/>
      </w:r>
      <w:r>
        <w:rPr>
          <w:sz w:val="28"/>
          <w:szCs w:val="28"/>
          <w:lang w:val="en-US" w:eastAsia="en-US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В помещениях для хранения и регенерации масла, а также закрытой установки силовых трансформаторов допускается выполнение ста</w:t>
      </w:r>
      <w:r>
        <w:t xml:space="preserve">ционарной разводки маслопроводов с установкой разделительной и запорной арматуры. Применение фланцевых соединений должно быть минимально необходимым для работы. Подключение маслопроводов к оборудованию и емкостям следует предусматривать через гибкие шланги</w:t>
      </w:r>
      <w:r>
        <w:rPr>
          <w:spacing w:val="1"/>
        </w:rPr>
        <w:t xml:space="preserve">.</w:t>
      </w:r>
      <w:r/>
    </w:p>
    <w:p>
      <w:pPr>
        <w:pStyle w:val="768"/>
        <w:spacing w:line="240" w:lineRule="auto"/>
      </w:pPr>
      <w:r>
        <w:t xml:space="preserve">Вдоль трансформаторов (реакторов)</w:t>
      </w:r>
      <w:r>
        <w:t xml:space="preserve">, устанавливаемых на открытых распределительных устройствах и у стен зданий энергообъектов, следует предусматривать проезд шириной не менее 3,5 м. Допускается предусматривать отдельный подъезд к каждому трансформатору (реактору) с такой же шириной проезда.</w:t>
      </w:r>
      <w:r/>
    </w:p>
    <w:p>
      <w:pPr>
        <w:pStyle w:val="768"/>
        <w:spacing w:line="240" w:lineRule="auto"/>
      </w:pPr>
      <w:r>
        <w:t xml:space="preserve">Вспомогательные здания, склады и другие сооружения следует оснащать устройствами молниезащиты, если они не входят в общую зону </w:t>
      </w:r>
      <w:r>
        <w:t xml:space="preserve">молниезащиты энергетического объекта.</w:t>
      </w:r>
      <w:r/>
    </w:p>
    <w:p>
      <w:pPr>
        <w:pStyle w:val="768"/>
        <w:spacing w:line="240" w:lineRule="auto"/>
      </w:pPr>
      <w:r>
        <w:t xml:space="preserve">Количество подъездов и ширина проездов для пожарных автомобилей вокруг открытого распределительного ус</w:t>
      </w:r>
      <w:r>
        <w:t xml:space="preserve">тройства, зданий и сооружений электросетевого предприятия устанавливаются в соответствии с требованиями действующих технических регламентов, федеральных нормативных документов и ведомственных норм технологического проектирования электросетевых предприятий.</w:t>
      </w:r>
      <w:r/>
    </w:p>
    <w:p>
      <w:pPr>
        <w:pStyle w:val="768"/>
        <w:spacing w:line="240" w:lineRule="auto"/>
      </w:pPr>
      <w:r>
        <w:t xml:space="preserve">Объекты электросетевых предприятий должны быть оснащены первичными средствами пожаротушения в соответствии с требованиями федеральных и ведомственных нормативных документов, содержащих требования пожарной безопасности.</w:t>
      </w:r>
      <w:r/>
    </w:p>
    <w:p>
      <w:pPr>
        <w:pStyle w:val="768"/>
        <w:spacing w:line="240" w:lineRule="auto"/>
      </w:pPr>
      <w:r>
        <w:t xml:space="preserve">В зданиях класса функ</w:t>
      </w:r>
      <w:r>
        <w:t xml:space="preserve">циональной пожарной опасности Ф5 допускается предусматривать на путях эвакуации оборудование на высоте менее 2-х метров и выступающее из плоскости стен, при сохранении нормативной ширины пути эвакуации, обозначении выступающих конструкций в соответствии с </w:t>
      </w:r>
      <w:r>
        <w:fldChar w:fldCharType="begin"/>
      </w:r>
      <w:r>
        <w:instrText xml:space="preserve"> HYPERLINK "kodeks://link/d?nd=1200</w:instrText>
      </w:r>
      <w:r>
        <w:instrText xml:space="preserve">136061" \o "\"ГОСТ 12.4.026-2015 Система стандартов безопасности труда (ССБТ). Цвета ...\"(утв. приказом Росстандарта от 10.06.2016 N 614-ст)Применяется с ...Статус: действующая редакция (действ. с 01.01.2021)Применяется для целей технического регламента" </w:instrText>
      </w:r>
      <w:r>
        <w:fldChar w:fldCharType="separate"/>
      </w:r>
      <w:r>
        <w:rPr>
          <w:rStyle w:val="861"/>
          <w:bCs/>
          <w:color w:val="0000aa"/>
        </w:rPr>
        <w:t xml:space="preserve">ГО</w:t>
      </w:r>
      <w:r>
        <w:rPr>
          <w:rStyle w:val="861"/>
          <w:bCs/>
          <w:color w:val="0000aa"/>
        </w:rPr>
        <w:t xml:space="preserve">СТ 12.4.026</w:t>
      </w:r>
      <w:r>
        <w:rPr>
          <w:rStyle w:val="861"/>
          <w:bCs/>
          <w:color w:val="0000aa"/>
        </w:rPr>
        <w:t xml:space="preserve">-2015</w:t>
      </w:r>
      <w:r>
        <w:rPr>
          <w:rStyle w:val="861"/>
          <w:bCs/>
          <w:color w:val="0000aa"/>
        </w:rPr>
        <w:fldChar w:fldCharType="end"/>
      </w:r>
      <w:r>
        <w:t xml:space="preserve"> и вы</w:t>
      </w:r>
      <w:r>
        <w:t xml:space="preserve">полнении мероприятий, направленных на исключение травмирования людей. Размещение радиаторов отопления также может быть предусмотрено с учетом требований </w:t>
      </w:r>
      <w:r>
        <w:fldChar w:fldCharType="begin"/>
      </w:r>
      <w:r>
        <w:instrText xml:space="preserve"> HYPERLINK "kodeks://link/d?nd=56524896</w:instrText>
      </w:r>
      <w:r>
        <w:instrText xml:space="preserve">1" \o "\"СП 1.13130.2020 Системы противопожарной защиты. Эвакуационные пути и ...\"(утв. приказом МЧС России от 19.03.2020 N 194)Свод правил от 19.03.2020 ...Статус: действующая редакция (действ. с 19.09.2020)Применяется для целей технического регламента" </w:instrText>
      </w:r>
      <w:r>
        <w:fldChar w:fldCharType="separate"/>
      </w:r>
      <w:r>
        <w:rPr>
          <w:rStyle w:val="861"/>
          <w:bCs/>
          <w:color w:val="0000aa"/>
        </w:rPr>
        <w:t xml:space="preserve">СП 1.13130</w:t>
      </w:r>
      <w:r>
        <w:rPr>
          <w:rStyle w:val="861"/>
          <w:bCs/>
          <w:color w:val="0000aa"/>
        </w:rPr>
        <w:t xml:space="preserve">.2020</w:t>
      </w:r>
      <w:r>
        <w:rPr>
          <w:rStyle w:val="861"/>
          <w:bCs/>
          <w:color w:val="0000aa"/>
        </w:rPr>
        <w:fldChar w:fldCharType="end"/>
      </w:r>
      <w:r>
        <w:t xml:space="preserve">.</w:t>
      </w:r>
      <w:r/>
    </w:p>
    <w:p>
      <w:pPr>
        <w:pStyle w:val="766"/>
        <w:ind w:left="0" w:firstLine="709"/>
        <w:jc w:val="both"/>
        <w:tabs>
          <w:tab w:val="left" w:pos="1134" w:leader="none"/>
        </w:tabs>
        <w:rPr>
          <w:sz w:val="32"/>
          <w:szCs w:val="16"/>
          <w:lang w:eastAsia="en-US"/>
        </w:rPr>
      </w:pPr>
      <w:r>
        <w:rPr>
          <w:sz w:val="32"/>
          <w:szCs w:val="16"/>
          <w:lang w:eastAsia="en-US"/>
        </w:rPr>
      </w:r>
      <w:r>
        <w:rPr>
          <w:sz w:val="32"/>
          <w:szCs w:val="16"/>
          <w:lang w:eastAsia="en-US"/>
        </w:rPr>
      </w:r>
    </w:p>
    <w:p>
      <w:pPr>
        <w:pStyle w:val="767"/>
        <w:spacing w:after="0"/>
      </w:pPr>
      <w:r/>
      <w:bookmarkStart w:id="14" w:name="_Toc99010088"/>
      <w:r/>
      <w:bookmarkStart w:id="15" w:name="_Toc125619800"/>
      <w:r/>
      <w:bookmarkStart w:id="16" w:name="Вентиляция"/>
      <w:r>
        <w:t xml:space="preserve">Противопожарные требо</w:t>
      </w:r>
      <w:r>
        <w:t xml:space="preserve">вания к вентиляционным системам</w:t>
      </w:r>
      <w:bookmarkEnd w:id="14"/>
      <w:r/>
      <w:bookmarkEnd w:id="15"/>
      <w:r/>
      <w:r/>
    </w:p>
    <w:p>
      <w:pPr>
        <w:pStyle w:val="766"/>
        <w:contextualSpacing/>
        <w:ind w:left="0" w:firstLine="709"/>
        <w:jc w:val="both"/>
        <w:tabs>
          <w:tab w:val="left" w:pos="709" w:leader="none"/>
          <w:tab w:val="left" w:pos="1134" w:leader="none"/>
          <w:tab w:val="left" w:pos="1276" w:leader="none"/>
          <w:tab w:val="left" w:pos="9072" w:leader="none"/>
        </w:tabs>
        <w:rPr>
          <w:b/>
          <w:sz w:val="28"/>
          <w:szCs w:val="28"/>
        </w:rPr>
      </w:pPr>
      <w:r/>
      <w:bookmarkEnd w:id="16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3"/>
        </w:numPr>
        <w:ind w:left="0" w:firstLine="709"/>
        <w:spacing w:line="240" w:lineRule="auto"/>
        <w:rPr>
          <w:b/>
        </w:rPr>
      </w:pPr>
      <w:r/>
      <w:bookmarkStart w:id="17" w:name="Вентиляция_общие_требования"/>
      <w:r>
        <w:rPr>
          <w:b/>
        </w:rPr>
        <w:t xml:space="preserve">Общие требования</w:t>
      </w:r>
      <w:bookmarkEnd w:id="17"/>
      <w:r>
        <w:rPr>
          <w:b/>
        </w:rPr>
      </w:r>
      <w:r>
        <w:rPr>
          <w:b/>
        </w:rPr>
      </w:r>
    </w:p>
    <w:p>
      <w:pPr>
        <w:pStyle w:val="769"/>
        <w:ind w:left="0" w:firstLine="709"/>
      </w:pPr>
      <w:r>
        <w:t xml:space="preserve">Помещения для вентиляционного оборудования должны быть выгорожены противопожарными перегородками с пределами огнестойкости не менее </w:t>
      </w:r>
      <w:r>
        <w:rPr>
          <w:lang w:val="en-US"/>
        </w:rPr>
        <w:t xml:space="preserve">EI</w:t>
      </w:r>
      <w:r>
        <w:t xml:space="preserve"> 45</w:t>
      </w:r>
      <w:r>
        <w:t xml:space="preserve">.</w:t>
      </w:r>
      <w:r/>
    </w:p>
    <w:p>
      <w:pPr>
        <w:pStyle w:val="769"/>
        <w:ind w:left="0" w:firstLine="709"/>
      </w:pPr>
      <w:r>
        <w:t xml:space="preserve">Места прохода транзитных воздуховодов через стены, перегородки и перекрытия зданий электросетевых предприятий следует уплотнять негорючими материалами, обеспечивая нормируемый предел огнестойкости пересе</w:t>
      </w:r>
      <w:r>
        <w:t xml:space="preserve">каемой ограждающей конструкции.</w:t>
      </w:r>
      <w:r/>
    </w:p>
    <w:p>
      <w:pPr>
        <w:pStyle w:val="769"/>
        <w:ind w:left="0" w:firstLine="709"/>
      </w:pPr>
      <w:r>
        <w:t xml:space="preserve">Для зданий и помещений, оборудованных автоматическими установками </w:t>
      </w:r>
      <w:r>
        <w:t xml:space="preserve">аэрозольного</w:t>
      </w:r>
      <w:r>
        <w:t xml:space="preserve">, порошкового или газового пожаротушения и (или) </w:t>
      </w:r>
      <w:r>
        <w:t xml:space="preserve">СПС</w:t>
      </w:r>
      <w:r>
        <w:t xml:space="preserve">, следует предусматривать автоматическое отключение при пожаре систем общеобменной вентиляции, кондиционирования воздуха и воздушного отопления (далее - системы вентиляции), а также закрытие противопожарных нормально открытых клапанов.</w:t>
      </w:r>
      <w:r/>
    </w:p>
    <w:p>
      <w:pPr>
        <w:pStyle w:val="769"/>
        <w:ind w:left="0" w:firstLine="709"/>
      </w:pPr>
      <w:r>
        <w:t xml:space="preserve">Отключение систем вентиляции и закрытие противопожарных нормально открытых клапанов должно осуществляться по сигналам, формируемым </w:t>
      </w:r>
      <w:r>
        <w:t xml:space="preserve">АУП</w:t>
      </w:r>
      <w:r>
        <w:t xml:space="preserve"> и (или) </w:t>
      </w:r>
      <w:r>
        <w:t xml:space="preserve">СПС</w:t>
      </w:r>
      <w:r>
        <w:t xml:space="preserve">, а также при включении систем противодымной вентиляции.</w:t>
      </w:r>
      <w:r>
        <w:t xml:space="preserve"> </w:t>
      </w:r>
      <w:r>
        <w:t xml:space="preserve">Требования данного пункта не распространяются на системы подачи воздуха в тамбур-шлюзы помещений категорий А и</w:t>
      </w:r>
      <w:r>
        <w:t xml:space="preserve"> Б по взрывопожарной опасности.</w:t>
      </w:r>
      <w:r/>
    </w:p>
    <w:p>
      <w:pPr>
        <w:pStyle w:val="766"/>
        <w:contextualSpacing/>
        <w:ind w:left="0" w:firstLine="709"/>
        <w:jc w:val="both"/>
        <w:tabs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spacing w:line="240" w:lineRule="auto"/>
        <w:rPr>
          <w:b/>
        </w:rPr>
      </w:pPr>
      <w:r/>
      <w:bookmarkStart w:id="18" w:name="Вентиляция_системы_вентиляции"/>
      <w:r>
        <w:rPr>
          <w:b/>
        </w:rPr>
        <w:t xml:space="preserve">Системы </w:t>
      </w:r>
      <w:r>
        <w:rPr>
          <w:b/>
        </w:rPr>
        <w:t xml:space="preserve">вентиляции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tabs>
          <w:tab w:val="left" w:pos="709" w:leader="none"/>
          <w:tab w:val="left" w:pos="1134" w:leader="none"/>
          <w:tab w:val="left" w:pos="1276" w:leader="none"/>
          <w:tab w:val="left" w:pos="9072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769"/>
        <w:ind w:left="0" w:firstLine="709"/>
        <w:rPr>
          <w:color w:val="000000"/>
        </w:rPr>
      </w:pPr>
      <w:r/>
      <w:bookmarkEnd w:id="18"/>
      <w:r>
        <w:rPr>
          <w:color w:val="000000"/>
        </w:rPr>
        <w:t xml:space="preserve">Системы вентиляции и кондиционирования воздуха в помещениях зданий и сооружений на объектах</w:t>
      </w:r>
      <w:r>
        <w:rPr>
          <w:color w:val="000000"/>
        </w:rPr>
        <w:t xml:space="preserve"> Общества </w:t>
      </w:r>
      <w:r>
        <w:rPr>
          <w:color w:val="000000"/>
        </w:rPr>
        <w:t xml:space="preserve">должны оборудоваться устройствами, обеспечивающими их автоматическое отключение при пожаре, а также вручную по месту их установки и со щитов управления.</w:t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В схемах управ</w:t>
      </w:r>
      <w:r>
        <w:rPr>
          <w:color w:val="000000"/>
        </w:rPr>
        <w:t xml:space="preserve">ления и автоматики аккумуляторных батарей должна предусматриваться блокировка, не допускающая проведение заряда батарей при отключенной вытяжной вентиляции. Сигнал о прекращении действия приточной вентиляции должен передаваться на щит управления дежурного </w:t>
      </w:r>
      <w:r>
        <w:t xml:space="preserve">персонала.</w:t>
      </w:r>
      <w: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Устройства ручного управления системами вентиляции необходимо предусматривать в удобных местах для действий персонала при пожаре.</w:t>
      </w:r>
      <w:r>
        <w:rPr>
          <w:color w:val="000000"/>
        </w:rPr>
      </w:r>
    </w:p>
    <w:p>
      <w:pPr>
        <w:pStyle w:val="769"/>
        <w:ind w:left="0" w:firstLine="709"/>
      </w:pPr>
      <w:r>
        <w:t xml:space="preserve">Система приточно-вытяжной вентиляции взрывоопасных помещений не должна быть связана с вентиляцией помещений с нормальной средой. Забор воздуха должен быть самостоятельным, исключающим попадание паров в смежные помещения.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Аварийная вентиляция должна быть сблокирована с газоанализаторами, установленными стационарно в камерах силовых трансформаторов (автотрансформаторов) в зданиях ПС закрытого типа или </w:t>
      </w:r>
      <w:r>
        <w:rPr>
          <w:bCs/>
          <w:shd w:val="clear" w:color="auto" w:fill="fbfbfb"/>
        </w:rPr>
        <w:t xml:space="preserve">элегазовое</w:t>
      </w:r>
      <w:r>
        <w:rPr>
          <w:shd w:val="clear" w:color="auto" w:fill="fbfbfb"/>
        </w:rPr>
        <w:t xml:space="preserve"> </w:t>
      </w:r>
      <w:r>
        <w:rPr>
          <w:bCs/>
          <w:shd w:val="clear" w:color="auto" w:fill="fbfbfb"/>
        </w:rPr>
        <w:t xml:space="preserve">комплектное</w:t>
      </w:r>
      <w:r>
        <w:rPr>
          <w:shd w:val="clear" w:color="auto" w:fill="fbfbfb"/>
        </w:rPr>
        <w:t xml:space="preserve"> </w:t>
      </w:r>
      <w:r>
        <w:rPr>
          <w:bCs/>
          <w:shd w:val="clear" w:color="auto" w:fill="fbfbfb"/>
        </w:rPr>
        <w:t xml:space="preserve">распределительное</w:t>
      </w:r>
      <w:r>
        <w:rPr>
          <w:shd w:val="clear" w:color="auto" w:fill="fbfbfb"/>
        </w:rPr>
        <w:t xml:space="preserve"> </w:t>
      </w:r>
      <w:r>
        <w:rPr>
          <w:bCs/>
          <w:shd w:val="clear" w:color="auto" w:fill="fbfbfb"/>
        </w:rPr>
        <w:t xml:space="preserve">устройство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ПС.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 включением автоматических установок пожаротушения должно обеспечиваться отключение аварийной вентиляции.</w:t>
      </w:r>
      <w:r/>
    </w:p>
    <w:p>
      <w:pPr>
        <w:pStyle w:val="766"/>
        <w:contextualSpacing/>
        <w:ind w:left="0" w:firstLine="709"/>
        <w:jc w:val="both"/>
        <w:tabs>
          <w:tab w:val="left" w:pos="851" w:leader="none"/>
          <w:tab w:val="left" w:pos="1276" w:leader="none"/>
          <w:tab w:val="left" w:pos="1418" w:leader="none"/>
          <w:tab w:val="left" w:pos="9072" w:leader="none"/>
        </w:tabs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>
        <w:rPr>
          <w:b/>
          <w:sz w:val="28"/>
          <w:szCs w:val="28"/>
          <w:highlight w:val="yellow"/>
        </w:rPr>
      </w:r>
    </w:p>
    <w:p>
      <w:pPr>
        <w:pStyle w:val="768"/>
        <w:spacing w:line="240" w:lineRule="auto"/>
        <w:rPr>
          <w:b/>
        </w:rPr>
      </w:pPr>
      <w:r/>
      <w:bookmarkStart w:id="19" w:name="Вентиляция_системы_противодым_вентиляции"/>
      <w:r>
        <w:rPr>
          <w:b/>
        </w:rPr>
        <w:t xml:space="preserve">С</w:t>
      </w:r>
      <w:r>
        <w:rPr>
          <w:b/>
        </w:rPr>
        <w:t xml:space="preserve">истемы противодымной вентиляции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tabs>
          <w:tab w:val="left" w:pos="851" w:leader="none"/>
          <w:tab w:val="left" w:pos="1134" w:leader="none"/>
          <w:tab w:val="left" w:pos="1276" w:leader="none"/>
          <w:tab w:val="left" w:pos="9072" w:leader="none"/>
        </w:tabs>
        <w:rPr>
          <w:b/>
          <w:sz w:val="28"/>
          <w:szCs w:val="16"/>
        </w:rPr>
      </w:pPr>
      <w:r>
        <w:rPr>
          <w:b/>
          <w:sz w:val="28"/>
          <w:szCs w:val="16"/>
        </w:rPr>
      </w:r>
      <w:r>
        <w:rPr>
          <w:b/>
          <w:sz w:val="28"/>
          <w:szCs w:val="16"/>
        </w:rPr>
      </w:r>
    </w:p>
    <w:p>
      <w:pPr>
        <w:pStyle w:val="769"/>
        <w:ind w:left="0" w:firstLine="709"/>
      </w:pPr>
      <w:r/>
      <w:bookmarkEnd w:id="19"/>
      <w:r>
        <w:rPr>
          <w:rFonts w:eastAsia="Calibri"/>
          <w:lang w:eastAsia="en-US"/>
        </w:rPr>
        <w:t xml:space="preserve">Система противодымной защиты здания, сооружения должна обеспечивать защиту людей на путях эвакуации и в безопасных зонах от во</w:t>
      </w:r>
      <w:r>
        <w:rPr>
          <w:rFonts w:eastAsia="Calibri"/>
          <w:lang w:eastAsia="en-US"/>
        </w:rPr>
        <w:t xml:space="preserve">здействия опасных факторов пожара в течение времени, необходимого для эвакуации людей в безопасную зону, или всего времени развития и тушения пожара посредством удаления продуктов горения и термического разложения и (или) предотвращения их распространения.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Необходимость установки систем приточно-вытяжной противодымной вентиляции, а также требования к составу, конструктивному исполнению, пожарно-техническим характер</w:t>
      </w:r>
      <w:r>
        <w:rPr>
          <w:rFonts w:eastAsia="Calibri"/>
          <w:lang w:eastAsia="en-US"/>
        </w:rPr>
        <w:t xml:space="preserve">истикам, особенностям использования и последовательности включения элементов систем приточно-вытяжной противодымной вентиляции зданий и сооружений определяются в зависимости от их функционального назначения и объемно-планировочных и конструктивных решений.</w:t>
      </w:r>
      <w:r/>
    </w:p>
    <w:p>
      <w:pPr>
        <w:pStyle w:val="769"/>
        <w:ind w:left="0" w:firstLine="709"/>
      </w:pPr>
      <w:r>
        <w:t xml:space="preserve">Управление исполнительными элементами оборудования противодымной вентиляции должно осуществляться в автоматическом (от </w:t>
      </w:r>
      <w:r>
        <w:t xml:space="preserve">СПС</w:t>
      </w:r>
      <w:r>
        <w:t xml:space="preserve"> или </w:t>
      </w:r>
      <w:r>
        <w:t xml:space="preserve">АУП</w:t>
      </w:r>
      <w:r>
        <w:t xml:space="preserve">) и дистанционном (с пульта дежурной смены персонала и от кнопок, установленных у эвакуационных выходов с этажей или в пожарных шкафах) режимах.</w:t>
      </w:r>
      <w:r/>
    </w:p>
    <w:p>
      <w:pPr>
        <w:pStyle w:val="769"/>
        <w:ind w:left="0" w:firstLine="709"/>
      </w:pPr>
      <w:r>
        <w:t xml:space="preserve">Электроснабжение электроприемников систем противодымной вентиляции должно осуществляться </w:t>
      </w:r>
      <w:r>
        <w:t xml:space="preserve">по первой категории надежности.</w:t>
      </w:r>
      <w:r/>
    </w:p>
    <w:p>
      <w:pPr>
        <w:pStyle w:val="769"/>
        <w:ind w:left="0" w:firstLine="709"/>
      </w:pPr>
      <w:r>
        <w:t xml:space="preserve">Вентиляторы для удаления продуктов горения следует размещать в отдельных помещениях с ограждающими строительными конструкциями, имеющими пределы огнестойкости не менее требуемых для конструкций пересекающих их воздуховодов.</w:t>
      </w:r>
      <w:r/>
    </w:p>
    <w:p>
      <w:pPr>
        <w:pStyle w:val="974"/>
        <w:ind w:left="0"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Не допускается предусматривать установку вентиляторов в перегородках и других ограждающих конструкциях кабельных сооружений </w:t>
      </w:r>
      <w:r>
        <w:rPr>
          <w:sz w:val="28"/>
          <w:szCs w:val="28"/>
        </w:rPr>
        <w:t xml:space="preserve">на объектах </w:t>
      </w:r>
      <w:r>
        <w:rPr>
          <w:sz w:val="28"/>
          <w:szCs w:val="28"/>
        </w:rPr>
        <w:t xml:space="preserve">Общества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При включении систем приточно-вытяжной п</w:t>
      </w:r>
      <w:r>
        <w:t xml:space="preserve">ротиводымной вентиляции зданий и сооружений при пожаре должно осуществляться обязательное отключение систем общеобменной и технологической вентиляции и кондиционирования воздуха (за исключением систем, обеспечивающих технологическую безопасность объектов).</w:t>
      </w:r>
      <w:r/>
    </w:p>
    <w:p>
      <w:pPr>
        <w:pStyle w:val="769"/>
        <w:ind w:left="0" w:firstLine="709"/>
      </w:pPr>
      <w:r>
        <w:t xml:space="preserve">Одновременная работа автоматических установок аэрозольного, порошкового или газового пожаротушения и систем противодымной вентиляции в помещении пожара не допускается.</w:t>
      </w:r>
      <w:r/>
    </w:p>
    <w:p>
      <w:pPr>
        <w:pStyle w:val="769"/>
        <w:ind w:left="0" w:firstLine="709"/>
      </w:pPr>
      <w:r>
        <w:t xml:space="preserve">При проектировании систем противодымной вентиляции в соответствии с установленными требованиями нормативных документов по пожарной безопасности должно быть предусмотрено обеспечение путей эвакуации </w:t>
      </w:r>
      <w:r>
        <w:rPr>
          <w:bCs/>
        </w:rPr>
        <w:t xml:space="preserve">коридоров автономными системами противодымной вентиляции для каждого пожарного отсека (этажа), исключающее их задымление через воздуховоды общеобменной вентиляции.</w:t>
      </w:r>
      <w:r/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Не допускается устройство общих систем вытяжной противодымной вентиляции для защиты помещений объектов </w:t>
      </w:r>
      <w:r>
        <w:rPr>
          <w:color w:val="000000"/>
        </w:rPr>
        <w:t xml:space="preserve">Общества</w:t>
      </w:r>
      <w:r>
        <w:rPr>
          <w:color w:val="000000"/>
        </w:rPr>
        <w:t xml:space="preserve"> различной функциональной пожарной опасности.</w:t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Кабельные линии и электропроводка системы противодымной вентиляции должны сохранять работоспособность в условиях пожара в течение времени, необходимого для выполнения их функций и эвакуации людей в безопасную зону.</w:t>
      </w:r>
      <w:r>
        <w:rPr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792"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/>
      <w:bookmarkStart w:id="20" w:name="Отопление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6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  <w:r>
        <w:rPr>
          <w:b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7"/>
        <w:spacing w:after="0"/>
      </w:pPr>
      <w:r/>
      <w:bookmarkStart w:id="21" w:name="_Toc99010089"/>
      <w:r/>
      <w:bookmarkStart w:id="22" w:name="_Toc125619801"/>
      <w:r>
        <w:t xml:space="preserve">Противопожарные т</w:t>
      </w:r>
      <w:r>
        <w:t xml:space="preserve">ребования к системам отопления</w:t>
      </w:r>
      <w:bookmarkEnd w:id="20"/>
      <w:r/>
      <w:bookmarkEnd w:id="21"/>
      <w:r/>
      <w:bookmarkEnd w:id="22"/>
      <w:r/>
      <w:r/>
    </w:p>
    <w:p>
      <w:pPr>
        <w:pStyle w:val="766"/>
        <w:contextualSpacing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4"/>
        </w:numPr>
        <w:ind w:left="0" w:firstLine="709"/>
        <w:spacing w:line="240" w:lineRule="auto"/>
      </w:pPr>
      <w:r>
        <w:rPr>
          <w:rFonts w:eastAsia="Calibri"/>
          <w:lang w:eastAsia="en-US"/>
        </w:rPr>
        <w:t xml:space="preserve">Температуру теплоносителя для систем отопления и теплоснабжения воздухонагр</w:t>
      </w:r>
      <w:r>
        <w:rPr>
          <w:rFonts w:eastAsia="Calibri"/>
          <w:lang w:eastAsia="en-US"/>
        </w:rPr>
        <w:t xml:space="preserve">евателей приточных установок, кондиционеров, воздушно-тепловых завес (далее - системы внутреннего теплоснабжения), применяемых на объектах электросетевых предприятий, по условиям обеспечения пожарной безопасности зданий следует принимать не менее чем на 20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°С ниже температуры самовоспламенения веществ, находящихся в помещении, но не более:</w:t>
      </w:r>
      <w:r/>
    </w:p>
    <w:p>
      <w:pPr>
        <w:pStyle w:val="766"/>
        <w:numPr>
          <w:ilvl w:val="0"/>
          <w:numId w:val="9"/>
        </w:numPr>
        <w:ind w:left="0" w:firstLine="709"/>
        <w:jc w:val="both"/>
        <w:tabs>
          <w:tab w:val="num" w:pos="993" w:leader="none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110</w:t>
      </w:r>
      <w:r>
        <w:rPr>
          <w:rFonts w:cs="Arial"/>
          <w:sz w:val="28"/>
          <w:szCs w:val="28"/>
        </w:rPr>
        <w:t xml:space="preserve"> </w:t>
      </w:r>
      <w:r>
        <w:rPr>
          <w:rFonts w:cs="Arial"/>
          <w:sz w:val="28"/>
          <w:szCs w:val="28"/>
        </w:rPr>
        <w:t xml:space="preserve">°</w:t>
      </w:r>
      <w:r>
        <w:rPr>
          <w:rFonts w:cs="Arial"/>
          <w:sz w:val="28"/>
          <w:szCs w:val="28"/>
        </w:rPr>
        <w:t xml:space="preserve">С -</w:t>
      </w:r>
      <w:r>
        <w:rPr>
          <w:rFonts w:cs="Arial"/>
          <w:sz w:val="28"/>
          <w:szCs w:val="28"/>
        </w:rPr>
        <w:t xml:space="preserve"> для помещений категорий А по взрывопожарной опасности;</w:t>
      </w:r>
      <w:r>
        <w:rPr>
          <w:rFonts w:cs="Arial"/>
          <w:sz w:val="28"/>
          <w:szCs w:val="28"/>
        </w:rPr>
      </w:r>
    </w:p>
    <w:p>
      <w:pPr>
        <w:pStyle w:val="766"/>
        <w:numPr>
          <w:ilvl w:val="0"/>
          <w:numId w:val="9"/>
        </w:numPr>
        <w:ind w:left="0" w:firstLine="709"/>
        <w:jc w:val="both"/>
        <w:tabs>
          <w:tab w:val="num" w:pos="993" w:leader="none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130</w:t>
      </w:r>
      <w:r>
        <w:rPr>
          <w:rFonts w:cs="Arial"/>
          <w:sz w:val="28"/>
          <w:szCs w:val="28"/>
        </w:rPr>
        <w:t xml:space="preserve"> </w:t>
      </w:r>
      <w:r>
        <w:rPr>
          <w:rFonts w:cs="Arial"/>
          <w:sz w:val="28"/>
          <w:szCs w:val="28"/>
        </w:rPr>
        <w:t xml:space="preserve">°С - для производственных помещениях категорий В1-В4 с выделением горючей пыли и аэрозолей;</w:t>
      </w:r>
      <w:r>
        <w:rPr>
          <w:rFonts w:cs="Arial"/>
          <w:sz w:val="28"/>
          <w:szCs w:val="28"/>
        </w:rPr>
      </w:r>
    </w:p>
    <w:p>
      <w:pPr>
        <w:pStyle w:val="766"/>
        <w:numPr>
          <w:ilvl w:val="0"/>
          <w:numId w:val="9"/>
        </w:numPr>
        <w:ind w:left="0" w:firstLine="709"/>
        <w:jc w:val="both"/>
        <w:tabs>
          <w:tab w:val="num" w:pos="993" w:leader="none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150</w:t>
      </w:r>
      <w:r>
        <w:rPr>
          <w:rFonts w:cs="Arial"/>
          <w:sz w:val="28"/>
          <w:szCs w:val="28"/>
        </w:rPr>
        <w:t xml:space="preserve"> </w:t>
      </w:r>
      <w:r>
        <w:rPr>
          <w:rFonts w:cs="Arial"/>
          <w:sz w:val="28"/>
          <w:szCs w:val="28"/>
        </w:rPr>
        <w:t xml:space="preserve">°С - для помещений иного назначения (в том числе в производственных категорий В1-В4 без выделения пыли и аэрозолей или с выделением негорючей пыли).</w:t>
      </w:r>
      <w:r>
        <w:rPr>
          <w:rFonts w:cs="Arial"/>
          <w:sz w:val="28"/>
          <w:szCs w:val="28"/>
        </w:rPr>
      </w:r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Для систем внутреннего теплоснабжения в качестве теплоносителя следует применять воду. Допускается применять водяной пар и другие теплоносители, если они отвечают требованиям нормативных документов по пожарной безопасности.</w:t>
      </w:r>
      <w:r/>
    </w:p>
    <w:p>
      <w:pPr>
        <w:pStyle w:val="766"/>
        <w:ind w:left="0"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Для зданий в районах с расчетной температурой наружного воздуха минус 40</w:t>
      </w:r>
      <w:r>
        <w:rPr>
          <w:rFonts w:cs="Arial"/>
          <w:sz w:val="28"/>
          <w:szCs w:val="28"/>
        </w:rPr>
        <w:t xml:space="preserve">°С и ниже допускается применять воду с добавками, предотвращающими ее замерзание. В качестве добавок не следует использовать взрывопожароопасные вещества в количествах (при аварии в системе внутреннего теплоснабжения), превышающих НКПР в воздухе помещения.</w:t>
      </w:r>
      <w:r>
        <w:rPr>
          <w:rFonts w:cs="Arial"/>
          <w:sz w:val="28"/>
          <w:szCs w:val="28"/>
        </w:rPr>
      </w:r>
    </w:p>
    <w:p>
      <w:pPr>
        <w:pStyle w:val="768"/>
        <w:spacing w:line="240" w:lineRule="auto"/>
      </w:pPr>
      <w:r>
        <w:t xml:space="preserve">Применение с</w:t>
      </w:r>
      <w:r>
        <w:t xml:space="preserve">и</w:t>
      </w:r>
      <w:r>
        <w:t xml:space="preserve">стем</w:t>
      </w:r>
      <w:r>
        <w:t xml:space="preserve"> водяного и парового отопления в помещениях зданий и сооружений ПС не допускается.</w:t>
      </w:r>
      <w:r/>
    </w:p>
    <w:p>
      <w:pPr>
        <w:pStyle w:val="768"/>
        <w:spacing w:line="240" w:lineRule="auto"/>
        <w:rPr>
          <w:color w:val="000000"/>
        </w:rPr>
      </w:pPr>
      <w:r>
        <w:rPr>
          <w:color w:val="000000"/>
        </w:rPr>
        <w:t xml:space="preserve">П</w:t>
      </w:r>
      <w:r>
        <w:rPr>
          <w:color w:val="000000"/>
        </w:rPr>
        <w:t xml:space="preserve">рименение электронагревательных приборов в</w:t>
      </w:r>
      <w:r>
        <w:rPr>
          <w:color w:val="000000"/>
        </w:rPr>
        <w:t xml:space="preserve"> помещениях Ф5.2 не допускается.</w:t>
      </w:r>
      <w:r>
        <w:rPr>
          <w:color w:val="000000"/>
        </w:rPr>
      </w:r>
      <w:r>
        <w:rPr>
          <w:color w:val="000000"/>
        </w:rPr>
      </w:r>
    </w:p>
    <w:p>
      <w:pPr>
        <w:pStyle w:val="766"/>
        <w:rPr>
          <w:highlight w:val="green"/>
        </w:rPr>
      </w:pPr>
      <w:r>
        <w:rPr>
          <w:highlight w:val="green"/>
        </w:rPr>
      </w:r>
      <w:r>
        <w:rPr>
          <w:highlight w:val="green"/>
        </w:rPr>
      </w:r>
    </w:p>
    <w:p>
      <w:pPr>
        <w:pStyle w:val="766"/>
        <w:rPr>
          <w:highlight w:val="green"/>
        </w:rPr>
      </w:pPr>
      <w:r>
        <w:rPr>
          <w:highlight w:val="green"/>
        </w:rPr>
      </w:r>
      <w:r>
        <w:rPr>
          <w:highlight w:val="green"/>
        </w:rPr>
      </w:r>
    </w:p>
    <w:p>
      <w:pPr>
        <w:pStyle w:val="766"/>
        <w:rPr>
          <w:highlight w:val="green"/>
        </w:rPr>
      </w:pPr>
      <w:r>
        <w:rPr>
          <w:highlight w:val="green"/>
        </w:rPr>
      </w:r>
      <w:r>
        <w:rPr>
          <w:highlight w:val="green"/>
        </w:rPr>
      </w:r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помещениях категории А по взрывопожарной опасности следует предусматривать воздушное отопление. Допускается при</w:t>
      </w:r>
      <w:r>
        <w:rPr>
          <w:rFonts w:eastAsia="Calibri"/>
          <w:lang w:eastAsia="en-US"/>
        </w:rPr>
        <w:t xml:space="preserve">менение других систем отопления, за исключением помещений, в которых хранятся или применяются вещества, образующие при контакте с водой или водяными парами взрывоопасные смеси, или вещества, способные к самовозгоранию или взрыву при взаимодействии с водой.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Расстояние (в свету) от поверхности трубопроводов, отопительных приборов и воздухонагревателей с теплоносителем температурой выше 105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°С до поверхности конструкций из горючих материалов следует принимать не менее 100 мм. При меньшем расстоянии следует предусматривать тепловую изоляцию поверхности этой конструкции из негорючих материалов.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Трубопроводы систем отопления в местах пересечения перекрытий,</w:t>
      </w:r>
      <w:r>
        <w:rPr>
          <w:rFonts w:eastAsia="Calibri"/>
          <w:lang w:eastAsia="en-US"/>
        </w:rPr>
        <w:t xml:space="preserve"> внутренних стен и перегородок следует прокладывать в гильзах из негорючих материалов. Заделку зазоров и отверстий в местах прокладки трубопроводов следует предусматривать негорючими материалами, обеспечивающими нормируемый предел огнестойкости ограждений.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К отопительным приборам, размещаемым в помещениях категорий</w:t>
      </w:r>
      <w:r>
        <w:rPr>
          <w:rFonts w:eastAsia="Calibri"/>
          <w:lang w:eastAsia="en-US"/>
        </w:rPr>
        <w:br w:type="textWrapping" w:clear="all"/>
      </w:r>
      <w:r>
        <w:rPr>
          <w:rFonts w:eastAsia="Calibri"/>
          <w:lang w:eastAsia="en-US"/>
        </w:rPr>
        <w:t xml:space="preserve">А,</w:t>
      </w:r>
      <w:r>
        <w:rPr>
          <w:rFonts w:eastAsia="Calibri"/>
          <w:lang w:eastAsia="en-US"/>
        </w:rPr>
        <w:t xml:space="preserve"> Б,</w:t>
      </w:r>
      <w:r>
        <w:rPr>
          <w:rFonts w:eastAsia="Calibri"/>
          <w:lang w:eastAsia="en-US"/>
        </w:rPr>
        <w:t xml:space="preserve"> В1 – В3 по взрывопожарной и пожарной опасности предъявляются следующие требования:</w:t>
      </w:r>
      <w:r/>
    </w:p>
    <w:p>
      <w:pPr>
        <w:pStyle w:val="766"/>
        <w:numPr>
          <w:ilvl w:val="0"/>
          <w:numId w:val="10"/>
        </w:numPr>
        <w:contextualSpacing/>
        <w:ind w:left="0" w:firstLine="709"/>
        <w:jc w:val="both"/>
        <w:tabs>
          <w:tab w:val="left" w:pos="993" w:leader="none"/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помещениях с выделением пыли </w:t>
      </w:r>
      <w:r>
        <w:rPr>
          <w:sz w:val="28"/>
          <w:szCs w:val="28"/>
        </w:rPr>
        <w:t xml:space="preserve">отопительные приборы не должны иметь ребристую поверхность, способную накапливать отложения пыли;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0"/>
        </w:numPr>
        <w:contextualSpacing/>
        <w:ind w:left="0" w:firstLine="709"/>
        <w:jc w:val="both"/>
        <w:tabs>
          <w:tab w:val="left" w:pos="993" w:leader="none"/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отопительные приборы не следует размещать на расстоянии (в свету) менее 100 мм от поверхности стен;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0"/>
        </w:numPr>
        <w:contextualSpacing/>
        <w:ind w:left="0" w:firstLine="709"/>
        <w:jc w:val="both"/>
        <w:tabs>
          <w:tab w:val="left" w:pos="993" w:leader="none"/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отопительные приборы</w:t>
      </w:r>
      <w:r>
        <w:rPr>
          <w:rFonts w:eastAsia="Calibri" w:cs="Arial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не допускается размещать в нишах;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0"/>
        </w:numPr>
        <w:contextualSpacing/>
        <w:ind w:left="0" w:firstLine="709"/>
        <w:jc w:val="both"/>
        <w:tabs>
          <w:tab w:val="left" w:pos="993" w:leader="none"/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помещениях кислотных аккумуляторов расстояние от аккумуляторов до отопительных приборов должно быть не менее 750 мм.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6"/>
        <w:contextualSpacing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7"/>
        <w:spacing w:after="0"/>
      </w:pPr>
      <w:r/>
      <w:bookmarkStart w:id="23" w:name="_Toc99010090"/>
      <w:r/>
      <w:bookmarkStart w:id="24" w:name="_Toc125619802"/>
      <w:r/>
      <w:bookmarkStart w:id="25" w:name="Кабельные_линии"/>
      <w:r>
        <w:t xml:space="preserve">Требован</w:t>
      </w:r>
      <w:r>
        <w:t xml:space="preserve">ия по прокладке кабельных линий</w:t>
      </w:r>
      <w:bookmarkEnd w:id="23"/>
      <w:r/>
      <w:bookmarkEnd w:id="24"/>
      <w:r/>
      <w:r/>
    </w:p>
    <w:p>
      <w:pPr>
        <w:pStyle w:val="766"/>
        <w:ind w:left="0" w:firstLine="709"/>
        <w:jc w:val="both"/>
        <w:tabs>
          <w:tab w:val="left" w:pos="1276" w:leader="none"/>
          <w:tab w:val="left" w:pos="9072" w:leader="none"/>
        </w:tabs>
        <w:rPr>
          <w:sz w:val="28"/>
          <w:szCs w:val="28"/>
        </w:rPr>
      </w:pPr>
      <w:r/>
      <w:bookmarkEnd w:id="25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numPr>
          <w:ilvl w:val="1"/>
          <w:numId w:val="35"/>
        </w:numPr>
        <w:ind w:left="0" w:firstLine="709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Компоновка, ограждающие конструкции и противопожарные мероприятия кабельных сооружений </w:t>
      </w:r>
      <w:r>
        <w:rPr>
          <w:rFonts w:eastAsia="Calibri"/>
          <w:lang w:eastAsia="en-US"/>
        </w:rPr>
        <w:t xml:space="preserve">зданий и сооружений</w:t>
      </w:r>
      <w:r>
        <w:rPr>
          <w:rFonts w:eastAsia="Calibri"/>
          <w:lang w:eastAsia="en-US"/>
        </w:rPr>
        <w:t xml:space="preserve"> </w:t>
      </w:r>
      <w:r>
        <w:t xml:space="preserve">Общества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(туннели, этажи</w:t>
      </w:r>
      <w:r>
        <w:rPr>
          <w:rFonts w:eastAsia="Calibri"/>
          <w:lang w:eastAsia="en-US"/>
        </w:rPr>
        <w:t xml:space="preserve">, закрытые галереи и т.п.)</w:t>
      </w:r>
      <w:r>
        <w:rPr>
          <w:rFonts w:eastAsia="Calibri"/>
          <w:lang w:eastAsia="en-US"/>
        </w:rPr>
        <w:t xml:space="preserve"> должны выполняться</w:t>
      </w:r>
      <w:r>
        <w:rPr>
          <w:rFonts w:eastAsia="Calibri"/>
          <w:lang w:eastAsia="en-US"/>
        </w:rPr>
        <w:t xml:space="preserve"> таким образом, чтобы исключалось распространение пожара в другие отсеки кабельных сооружений и сводились до минимума возможные нарушения работы ответственных технологических установок, систем управления, автоматики, сигнализации и пожарной защиты объекта.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ПС 35 кВ и выше следует предусматривать применение кабелей с изоляцией, не распространяющей горение в соответстви</w:t>
      </w:r>
      <w:r>
        <w:rPr>
          <w:rFonts w:eastAsia="Calibri"/>
          <w:lang w:eastAsia="en-US"/>
        </w:rPr>
        <w:t xml:space="preserve">и</w:t>
      </w:r>
      <w:r>
        <w:rPr>
          <w:rFonts w:eastAsia="Calibri"/>
          <w:lang w:eastAsia="en-US"/>
        </w:rPr>
        <w:t xml:space="preserve"> с </w:t>
      </w:r>
      <w:r>
        <w:fldChar w:fldCharType="begin"/>
      </w:r>
      <w:r>
        <w:instrText xml:space="preserve"> HYPERLINK "kodeks://link/d?nd=12</w:instrText>
      </w:r>
      <w:r>
        <w:instrText xml:space="preserve">00101754" \o "\"ГОСТ 31565-2012 Кабельные изделия. Требования пожарной безопасности ...\"(утв. приказом Росстандарта от 22.11.2012 N 1097-ст)Применяется с ...Статус: действующая редакция (действ. с 01.01.2014)Применяется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lang w:eastAsia="en-US"/>
        </w:rPr>
        <w:t xml:space="preserve">ГОСТ 31565</w:t>
      </w:r>
      <w:r>
        <w:rPr>
          <w:rStyle w:val="861"/>
          <w:rFonts w:eastAsia="Calibri"/>
          <w:color w:val="0000aa"/>
          <w:lang w:eastAsia="en-US"/>
        </w:rPr>
        <w:t xml:space="preserve">-2012</w:t>
      </w:r>
      <w:r>
        <w:rPr>
          <w:rStyle w:val="861"/>
          <w:rFonts w:eastAsia="Calibri"/>
          <w:color w:val="0000aa"/>
          <w:lang w:eastAsia="en-US"/>
        </w:rPr>
        <w:fldChar w:fldCharType="end"/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6"/>
        <w:contextualSpacing/>
        <w:ind w:left="0" w:firstLine="709"/>
        <w:jc w:val="both"/>
        <w:tabs>
          <w:tab w:val="left" w:pos="1134" w:leader="none"/>
          <w:tab w:val="left" w:pos="1418" w:leader="none"/>
          <w:tab w:val="left" w:pos="9072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прокладке кабельных линий в открытых распределительных устройствах следует применять кабели с изоляцией, не распространяющей горение при одиночной прокладке</w:t>
      </w:r>
      <w:r>
        <w:rPr>
          <w:rFonts w:eastAsia="Calibri"/>
          <w:sz w:val="28"/>
          <w:szCs w:val="28"/>
          <w:lang w:eastAsia="en-US"/>
        </w:rPr>
        <w:t xml:space="preserve">,</w:t>
      </w:r>
      <w:r>
        <w:rPr>
          <w:rFonts w:eastAsia="Calibri"/>
          <w:sz w:val="28"/>
          <w:szCs w:val="28"/>
          <w:lang w:eastAsia="en-US"/>
        </w:rPr>
        <w:t xml:space="preserve"> и с изоляцией, не распространяющие горение при групповой прокладке (нг (A F/R)). Выбор категории пожарной опасности кабельных линий (A F/R, А, В, С или D) при групповой прокладке должен подтверждаться соответствующими расчётами и входить в состав проекта.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contextualSpacing/>
        <w:ind w:left="0" w:firstLine="709"/>
        <w:jc w:val="both"/>
        <w:tabs>
          <w:tab w:val="left" w:pos="1134" w:leader="none"/>
          <w:tab w:val="left" w:pos="1418" w:leader="none"/>
          <w:tab w:val="left" w:pos="9072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Допускается при открыт</w:t>
      </w:r>
      <w:r>
        <w:rPr>
          <w:rFonts w:eastAsia="Calibri"/>
          <w:sz w:val="28"/>
          <w:szCs w:val="28"/>
          <w:lang w:eastAsia="en-US"/>
        </w:rPr>
        <w:t xml:space="preserve">ой прокладке применение кабелей с изоляцией поддерживающей горение,</w:t>
      </w:r>
      <w:r>
        <w:rPr>
          <w:rFonts w:eastAsia="Calibri"/>
          <w:color w:val="00b050"/>
          <w:sz w:val="20"/>
          <w:szCs w:val="20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обработанн</w:t>
      </w:r>
      <w:r>
        <w:rPr>
          <w:rFonts w:eastAsia="Calibri"/>
          <w:sz w:val="28"/>
          <w:szCs w:val="28"/>
          <w:lang w:eastAsia="en-US"/>
        </w:rPr>
        <w:t xml:space="preserve">ы</w:t>
      </w:r>
      <w:r>
        <w:rPr>
          <w:rFonts w:eastAsia="Calibri"/>
          <w:sz w:val="28"/>
          <w:szCs w:val="28"/>
          <w:lang w:eastAsia="en-US"/>
        </w:rPr>
        <w:t xml:space="preserve">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ОКП на основе сеток, рулонов, лент или ОЗС, обладающих </w:t>
      </w:r>
      <w:r>
        <w:rPr>
          <w:rFonts w:eastAsia="Calibri"/>
          <w:sz w:val="28"/>
          <w:szCs w:val="28"/>
          <w:lang w:eastAsia="en-US"/>
        </w:rPr>
        <w:t xml:space="preserve">огнезащитной эффективностью в соответстви</w:t>
      </w:r>
      <w:r>
        <w:rPr>
          <w:rFonts w:eastAsia="Calibri"/>
          <w:sz w:val="28"/>
          <w:szCs w:val="28"/>
          <w:lang w:eastAsia="en-US"/>
        </w:rPr>
        <w:t xml:space="preserve">и</w:t>
      </w:r>
      <w:r>
        <w:rPr>
          <w:rFonts w:eastAsia="Calibri"/>
          <w:sz w:val="28"/>
          <w:szCs w:val="28"/>
          <w:lang w:eastAsia="en-US"/>
        </w:rPr>
        <w:t xml:space="preserve"> с </w:t>
      </w:r>
      <w:r>
        <w:fldChar w:fldCharType="begin"/>
      </w:r>
      <w:r>
        <w:instrText xml:space="preserve"> HYPERLINK "kodeks://link/d?nd=120007327</w:instrText>
      </w:r>
      <w:r>
        <w:instrText xml:space="preserve">0" \o "\"ГОСТ Р 53311-2009 Покрытия кабельные огнезащитные. Методы определения ...\"(утв. приказом Росстандарта от 18.02.2009 N 87-ст)Применяется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ГОСТ 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Р 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53311-2009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fldChar w:fldCharType="end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Прокладку взаиморезервирующих кабельных линий (силовых линий, линий оперативно</w:t>
      </w:r>
      <w:r>
        <w:rPr>
          <w:rFonts w:eastAsia="Calibri"/>
          <w:lang w:eastAsia="en-US"/>
        </w:rPr>
        <w:t xml:space="preserve">го тока, управления, сигнализации, систем пожаротушения и т.п.) необходимо предусматривать по разным кабельным сооружениям. Допускается прокладка резервных кабельных линий: одна по кабельным сооружениям, другая - по производственным помещениям или в земле.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невозможности прокладки резервных кабельных линий по разным сооружениям, допускается прокладка их в одном кабельном сооружении при условии: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Выполнения защиты одной из резервных кабельных линий ограждающими строительными конструкциями из негорючих материалов с огнестойкостью не менее </w:t>
      </w:r>
      <w:r>
        <w:rPr>
          <w:rFonts w:eastAsia="Calibri"/>
          <w:lang w:val="en-US" w:eastAsia="en-US"/>
        </w:rPr>
        <w:t xml:space="preserve">REI</w:t>
      </w:r>
      <w:r>
        <w:rPr>
          <w:rFonts w:eastAsia="Calibri"/>
          <w:lang w:eastAsia="en-US"/>
        </w:rPr>
        <w:t xml:space="preserve"> 45.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Кабельные линии в соответствии с </w:t>
      </w:r>
      <w:r>
        <w:fldChar w:fldCharType="begin"/>
      </w:r>
      <w:r>
        <w:instrText xml:space="preserve"> HYPERLINK "kodeks://link/d?nd=12</w:instrText>
      </w:r>
      <w:r>
        <w:instrText xml:space="preserve">00101754" \o "\"ГОСТ 31565-2012 Кабельные изделия. Требования пожарной безопасности ...\"(утв. приказом Росстандарта от 22.11.2012 N 1097-ст)Применяется с ...Статус: действующая редакция (действ. с 01.01.2014)Применяется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lang w:eastAsia="en-US"/>
        </w:rPr>
        <w:t xml:space="preserve">ГОСТ 31565</w:t>
      </w:r>
      <w:r>
        <w:rPr>
          <w:rStyle w:val="861"/>
          <w:rFonts w:eastAsia="Calibri"/>
          <w:color w:val="0000aa"/>
          <w:lang w:eastAsia="en-US"/>
        </w:rPr>
        <w:t xml:space="preserve">-2012</w:t>
      </w:r>
      <w:r>
        <w:rPr>
          <w:rStyle w:val="861"/>
          <w:rFonts w:eastAsia="Calibri"/>
          <w:color w:val="0000aa"/>
          <w:lang w:eastAsia="en-US"/>
        </w:rPr>
        <w:fldChar w:fldCharType="end"/>
      </w:r>
      <w:r>
        <w:rPr>
          <w:rFonts w:eastAsia="Calibri"/>
          <w:lang w:eastAsia="en-US"/>
        </w:rPr>
        <w:t xml:space="preserve"> должны быть огнестойки</w:t>
      </w:r>
      <w:r>
        <w:rPr>
          <w:rFonts w:eastAsia="Calibri"/>
          <w:lang w:eastAsia="en-US"/>
        </w:rPr>
        <w:t xml:space="preserve">ми</w:t>
      </w:r>
      <w:r>
        <w:rPr>
          <w:rFonts w:eastAsia="Calibri"/>
          <w:lang w:eastAsia="en-US"/>
        </w:rPr>
        <w:t xml:space="preserve">, не распространяющи</w:t>
      </w:r>
      <w:r>
        <w:rPr>
          <w:rFonts w:eastAsia="Calibri"/>
          <w:lang w:eastAsia="en-US"/>
        </w:rPr>
        <w:t xml:space="preserve">ми</w:t>
      </w:r>
      <w:r>
        <w:rPr>
          <w:rFonts w:eastAsia="Calibri"/>
          <w:lang w:eastAsia="en-US"/>
        </w:rPr>
        <w:t xml:space="preserve"> горени</w:t>
      </w:r>
      <w:r>
        <w:rPr>
          <w:rFonts w:eastAsia="Calibri"/>
          <w:lang w:eastAsia="en-US"/>
        </w:rPr>
        <w:t xml:space="preserve">я</w:t>
      </w:r>
      <w:r>
        <w:rPr>
          <w:rFonts w:eastAsia="Calibri"/>
          <w:lang w:eastAsia="en-US"/>
        </w:rPr>
        <w:t xml:space="preserve"> при групповой прокладке, с пониженным дымо- и газовыделением (нг (A F/R- FRLS), а при прокладке </w:t>
      </w:r>
      <w:r>
        <w:rPr>
          <w:rFonts w:eastAsia="Calibri"/>
          <w:lang w:eastAsia="en-US"/>
        </w:rPr>
        <w:t xml:space="preserve">в обслуживаемых</w:t>
      </w:r>
      <w:r>
        <w:rPr>
          <w:rFonts w:eastAsia="Calibri"/>
          <w:lang w:eastAsia="en-US"/>
        </w:rPr>
        <w:t xml:space="preserve"> кабельных сооружени</w:t>
      </w:r>
      <w:r>
        <w:rPr>
          <w:rFonts w:eastAsia="Calibri"/>
          <w:lang w:eastAsia="en-US"/>
        </w:rPr>
        <w:t xml:space="preserve">ях</w:t>
      </w:r>
      <w:r>
        <w:rPr>
          <w:rFonts w:eastAsia="Calibri"/>
          <w:lang w:eastAsia="en-US"/>
        </w:rPr>
        <w:t xml:space="preserve"> 220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кВ и выше - огнестойки</w:t>
      </w:r>
      <w:r>
        <w:rPr>
          <w:rFonts w:eastAsia="Calibri"/>
          <w:lang w:eastAsia="en-US"/>
        </w:rPr>
        <w:t xml:space="preserve">ми</w:t>
      </w:r>
      <w:r>
        <w:rPr>
          <w:rFonts w:eastAsia="Calibri"/>
          <w:lang w:eastAsia="en-US"/>
        </w:rPr>
        <w:t xml:space="preserve">, не распространяющи</w:t>
      </w:r>
      <w:r>
        <w:rPr>
          <w:rFonts w:eastAsia="Calibri"/>
          <w:lang w:eastAsia="en-US"/>
        </w:rPr>
        <w:t xml:space="preserve">ми</w:t>
      </w:r>
      <w:r>
        <w:rPr>
          <w:rFonts w:eastAsia="Calibri"/>
          <w:lang w:eastAsia="en-US"/>
        </w:rPr>
        <w:t xml:space="preserve"> горени</w:t>
      </w:r>
      <w:r>
        <w:rPr>
          <w:rFonts w:eastAsia="Calibri"/>
          <w:lang w:eastAsia="en-US"/>
        </w:rPr>
        <w:t xml:space="preserve">я</w:t>
      </w:r>
      <w:r>
        <w:rPr>
          <w:rFonts w:eastAsia="Calibri"/>
          <w:lang w:eastAsia="en-US"/>
        </w:rPr>
        <w:t xml:space="preserve"> при групповой прокладке и не выделяющи</w:t>
      </w:r>
      <w:r>
        <w:rPr>
          <w:rFonts w:eastAsia="Calibri"/>
          <w:lang w:eastAsia="en-US"/>
        </w:rPr>
        <w:t xml:space="preserve">ми</w:t>
      </w:r>
      <w:r>
        <w:rPr>
          <w:rFonts w:eastAsia="Calibri"/>
          <w:lang w:eastAsia="en-US"/>
        </w:rPr>
        <w:t xml:space="preserve"> коррозионно-активных газообразных продуктов при горении и </w:t>
      </w:r>
      <w:r>
        <w:rPr>
          <w:rFonts w:eastAsia="Calibri"/>
          <w:lang w:eastAsia="en-US"/>
        </w:rPr>
        <w:t xml:space="preserve">тлении (</w:t>
      </w:r>
      <w:r>
        <w:rPr>
          <w:rFonts w:eastAsia="Calibri"/>
          <w:lang w:eastAsia="en-US"/>
        </w:rPr>
        <w:t xml:space="preserve">нг (A F/R- FRHF)).</w:t>
      </w:r>
      <w:r>
        <w:rPr>
          <w:rFonts w:eastAsia="Calibri"/>
          <w:lang w:eastAsia="en-US"/>
        </w:rPr>
      </w:r>
    </w:p>
    <w:p>
      <w:pPr>
        <w:pStyle w:val="766"/>
        <w:contextualSpacing/>
        <w:ind w:left="0" w:firstLine="709"/>
        <w:jc w:val="both"/>
        <w:tabs>
          <w:tab w:val="left" w:pos="0" w:leader="none"/>
          <w:tab w:val="left" w:pos="1276" w:leader="none"/>
          <w:tab w:val="left" w:pos="9072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кабельных сооружений 6-110кВ кабельные линии в соответствии с </w:t>
      </w:r>
      <w:r>
        <w:fldChar w:fldCharType="begin"/>
      </w:r>
      <w:r>
        <w:instrText xml:space="preserve"> HYPERLINK "kodeks://link/d?nd=12</w:instrText>
      </w:r>
      <w:r>
        <w:instrText xml:space="preserve">00101754" \o "\"ГОСТ 31565-2012 Кабельные изделия. Требования пожарной безопасности ...\"(утв. приказом Росстандарта от 22.11.2012 N 1097-ст)Применяется с ...Статус: действующая редакция (действ. с 01.01.2014)Применяется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ГОСТ 31565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-2012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fldChar w:fldCharType="end"/>
      </w:r>
      <w:r>
        <w:rPr>
          <w:rFonts w:eastAsia="Calibri"/>
          <w:sz w:val="28"/>
          <w:szCs w:val="28"/>
          <w:lang w:eastAsia="en-US"/>
        </w:rPr>
        <w:t xml:space="preserve"> должны быть выполнены с изоляцией, не распространяющей горени</w:t>
      </w:r>
      <w:r>
        <w:rPr>
          <w:rFonts w:eastAsia="Calibri"/>
          <w:sz w:val="28"/>
          <w:szCs w:val="28"/>
          <w:lang w:eastAsia="en-US"/>
        </w:rPr>
        <w:t xml:space="preserve">я</w:t>
      </w:r>
      <w:r>
        <w:rPr>
          <w:rFonts w:eastAsia="Calibri"/>
          <w:sz w:val="28"/>
          <w:szCs w:val="28"/>
          <w:lang w:eastAsia="en-US"/>
        </w:rPr>
        <w:t xml:space="preserve"> при групповой прокладке, с пониженным дымо- и газовыделением (нг (A F/R- LS)).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contextualSpacing/>
        <w:ind w:left="0" w:firstLine="709"/>
        <w:jc w:val="both"/>
        <w:tabs>
          <w:tab w:val="left" w:pos="0" w:leader="none"/>
          <w:tab w:val="left" w:pos="1276" w:leader="none"/>
          <w:tab w:val="left" w:pos="9072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7.4.3 Если объем горючей массы кабелей и проводов, проложенных в кабельных сооружениях зданий и сооружениях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Общества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(туннели, этажи</w:t>
      </w:r>
      <w:r>
        <w:rPr>
          <w:rFonts w:eastAsia="Calibri"/>
          <w:sz w:val="28"/>
          <w:szCs w:val="28"/>
          <w:lang w:eastAsia="en-US"/>
        </w:rPr>
        <w:t xml:space="preserve">, закрытые галереи и т.п.), пре</w:t>
      </w:r>
      <w:r>
        <w:rPr>
          <w:rFonts w:eastAsia="Calibri"/>
          <w:sz w:val="28"/>
          <w:szCs w:val="28"/>
          <w:lang w:eastAsia="en-US"/>
        </w:rPr>
        <w:t xml:space="preserve">вышает установленное предельное значение (7 л</w:t>
      </w:r>
      <w:r>
        <w:rPr>
          <w:rFonts w:eastAsia="Calibri"/>
          <w:sz w:val="28"/>
          <w:szCs w:val="28"/>
          <w:lang w:eastAsia="en-US"/>
        </w:rPr>
        <w:t xml:space="preserve">/</w:t>
      </w:r>
      <w:r>
        <w:rPr>
          <w:rFonts w:eastAsia="Calibri"/>
          <w:sz w:val="28"/>
          <w:szCs w:val="28"/>
          <w:lang w:eastAsia="en-US"/>
        </w:rPr>
        <w:t xml:space="preserve">п.м.), кабели и провода необходимо обработать ОКП на основе сеток, рулонов, лент или ОЗС обладающих огнезащитной эффективностью в соответствие с </w:t>
      </w:r>
      <w:r>
        <w:fldChar w:fldCharType="begin"/>
      </w:r>
      <w:r>
        <w:instrText xml:space="preserve"> HYPERLINK "kodeks://link/d?nd=120007327</w:instrText>
      </w:r>
      <w:r>
        <w:instrText xml:space="preserve">0" \o "\"ГОСТ Р 53311-2009 Покрытия кабельные огнезащитные. Методы определения ...\"(утв. приказом Росстандарта от 18.02.2009 N 87-ст)Применяется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ГОСТ 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Р 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t xml:space="preserve">53311-2009</w:t>
      </w:r>
      <w:r>
        <w:rPr>
          <w:rStyle w:val="861"/>
          <w:rFonts w:eastAsia="Calibri"/>
          <w:color w:val="0000aa"/>
          <w:sz w:val="28"/>
          <w:szCs w:val="28"/>
          <w:lang w:eastAsia="en-US"/>
        </w:rPr>
        <w:fldChar w:fldCharType="end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протяженных кабельных сооружениях должны предусматриваться перегородки, которые де</w:t>
      </w:r>
      <w:r>
        <w:rPr>
          <w:rFonts w:eastAsia="Calibri"/>
          <w:lang w:eastAsia="en-US"/>
        </w:rPr>
        <w:t xml:space="preserve">лят их на отсеки длиной не более 150 м, а с маслонаполненными кабелями - на отсеки не более 100 м. Перегородки между отсеками и ограждающие конструкции кабельных сооружений должны предусматриваться из негорючих материалов с пределом огнестойкости не менее </w:t>
      </w:r>
      <w:r>
        <w:rPr>
          <w:rFonts w:eastAsia="Calibri"/>
          <w:lang w:val="en-US" w:eastAsia="en-US"/>
        </w:rPr>
        <w:t xml:space="preserve">EI</w:t>
      </w:r>
      <w:r>
        <w:rPr>
          <w:rFonts w:eastAsia="Calibri"/>
          <w:lang w:eastAsia="en-US"/>
        </w:rPr>
        <w:t xml:space="preserve"> 45.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кабельных шахтах, в местах прохода через каждое перекрытие, но не реже, чем через 20 м, должны предусматриваться перегородки из несгораемых материалов с пределом огнестойкости не менее </w:t>
      </w:r>
      <w:r>
        <w:rPr>
          <w:rFonts w:eastAsia="Calibri"/>
          <w:lang w:val="en-US" w:eastAsia="en-US"/>
        </w:rPr>
        <w:t xml:space="preserve">EI</w:t>
      </w:r>
      <w:r>
        <w:rPr>
          <w:rFonts w:eastAsia="Calibri"/>
          <w:lang w:eastAsia="en-US"/>
        </w:rPr>
        <w:t xml:space="preserve"> 45.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кабельных каналах должны предусматриваться перегородки и уплотнения с пределом огнестойкости не менее </w:t>
      </w:r>
      <w:r>
        <w:rPr>
          <w:rFonts w:eastAsia="Calibri"/>
          <w:lang w:val="en-US" w:eastAsia="en-US"/>
        </w:rPr>
        <w:t xml:space="preserve">EI</w:t>
      </w:r>
      <w:r>
        <w:rPr>
          <w:rFonts w:eastAsia="Calibri"/>
          <w:lang w:eastAsia="en-US"/>
        </w:rPr>
        <w:t xml:space="preserve"> 45 через 50 м по длине, в местах ответвлений и прохода через строительные конструкции.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 xml:space="preserve">Выходы из крайних отсеков кабельных сооружений должны предусматриваться непосредственно наружу, в лестничную клетку или в помещения с производствами категорий Г и Д. </w:t>
      </w:r>
      <w:r>
        <w:rPr>
          <w:rFonts w:eastAsia="Calibri"/>
          <w:color w:val="000000"/>
          <w:lang w:eastAsia="en-US"/>
        </w:rPr>
        <w:t xml:space="preserve">Из </w:t>
      </w:r>
      <w:r>
        <w:rPr>
          <w:rFonts w:eastAsia="Calibri"/>
          <w:color w:val="000000"/>
          <w:lang w:val="ru-RU" w:eastAsia="en-US"/>
        </w:rPr>
        <w:t xml:space="preserve">кабельных этажей, туннелей, шахт</w:t>
      </w:r>
      <w:r>
        <w:rPr>
          <w:rFonts w:eastAsia="Calibri"/>
          <w:color w:val="000000"/>
          <w:lang w:eastAsia="en-US"/>
        </w:rPr>
        <w:t xml:space="preserve"> должно предусматриваться не менее двух выходов.</w:t>
      </w:r>
      <w:r>
        <w:rPr>
          <w:rFonts w:eastAsia="Calibri"/>
          <w:lang w:eastAsia="en-US"/>
        </w:rPr>
        <w:t xml:space="preserve"> Из кабельных туннелей длиной не более 25 м допускается предусматривать один выход</w:t>
      </w:r>
      <w:r>
        <w:rPr>
          <w:rFonts w:eastAsia="Calibri"/>
          <w:lang w:val="ru-RU" w:eastAsia="en-US"/>
        </w:rPr>
        <w:t xml:space="preserve">.</w:t>
      </w:r>
      <w:r>
        <w:rPr>
          <w:rFonts w:eastAsia="Calibri"/>
          <w:color w:val="00b050"/>
          <w:lang w:eastAsia="en-US"/>
        </w:rPr>
      </w:r>
      <w:r>
        <w:rPr>
          <w:rFonts w:eastAsia="Calibri"/>
          <w:color w:val="00b050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качестве второго выхода</w:t>
      </w:r>
      <w:r>
        <w:rPr>
          <w:rFonts w:eastAsia="Calibri"/>
          <w:lang w:eastAsia="en-US"/>
        </w:rPr>
        <w:t xml:space="preserve"> из кабельных сооружений допускается </w:t>
      </w:r>
      <w:r>
        <w:rPr>
          <w:rFonts w:eastAsia="Calibri"/>
          <w:lang w:eastAsia="en-US"/>
        </w:rPr>
        <w:t xml:space="preserve">использовать переходы </w:t>
      </w:r>
      <w:r>
        <w:rPr>
          <w:rFonts w:eastAsia="Calibri"/>
          <w:lang w:eastAsia="en-US"/>
        </w:rPr>
        <w:t xml:space="preserve">в другие кабельные сооружения</w:t>
      </w:r>
      <w:r>
        <w:rPr>
          <w:rFonts w:eastAsia="Calibri"/>
          <w:lang w:eastAsia="en-US"/>
        </w:rPr>
        <w:t xml:space="preserve"> или люки, оборудованные металлическими лестницами (скобами)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Двери кабельных сооружений должны </w:t>
      </w:r>
      <w:r>
        <w:rPr>
          <w:rFonts w:eastAsia="Calibri"/>
          <w:lang w:eastAsia="en-US"/>
        </w:rPr>
        <w:t xml:space="preserve">выполняться из несгораемых материалов с пределом огнестойкости не менее E</w:t>
      </w:r>
      <w:r>
        <w:rPr>
          <w:rFonts w:eastAsia="Calibri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ru-RU" w:eastAsia="en-US"/>
        </w:rPr>
        <w:t xml:space="preserve">45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протяженных кабельных туннелях, расположенных вне зданий и сооружений, должны предусматриваться вых</w:t>
      </w:r>
      <w:r>
        <w:rPr>
          <w:rFonts w:eastAsia="Calibri"/>
          <w:lang w:eastAsia="en-US"/>
        </w:rPr>
        <w:t xml:space="preserve">оды через люки не реже, чем через 50 м. Люки в наружных туннелях должны предусматриваться с двумя крышками. Нижняя крышка должна иметь запорное устройство, открываемое со стороны туннеля без ключа. Наружные крышки должны иметь приспособления для их снятия.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Люки кабельных сооружений, расположенных внутри зданий должны предусматриваться из несгораемых материалов с </w:t>
      </w:r>
      <w:r>
        <w:rPr>
          <w:rFonts w:eastAsia="Calibri"/>
          <w:lang w:eastAsia="en-US"/>
        </w:rPr>
        <w:t xml:space="preserve">соответствующим </w:t>
      </w:r>
      <w:r>
        <w:rPr>
          <w:rFonts w:eastAsia="Calibri"/>
          <w:lang w:eastAsia="en-US"/>
        </w:rPr>
        <w:t xml:space="preserve">предел</w:t>
      </w:r>
      <w:r>
        <w:rPr>
          <w:rFonts w:eastAsia="Calibri"/>
          <w:lang w:eastAsia="en-US"/>
        </w:rPr>
        <w:t xml:space="preserve">ом огнестойкости. </w:t>
      </w:r>
      <w:r>
        <w:rPr>
          <w:rFonts w:eastAsia="Calibri"/>
          <w:lang w:eastAsia="en-US"/>
        </w:rPr>
        <w:t xml:space="preserve">Диаметры отверстий круглых люков должны быть не менее 650 мм, а отверстия люков прямоугольной формы должны быть не менее 600 </w:t>
      </w:r>
      <w:r>
        <w:rPr>
          <w:rFonts w:ascii="Symbol" w:hAnsi="Symbol" w:eastAsia="Symbol" w:cs="Symbol"/>
          <w:lang w:eastAsia="en-US"/>
        </w:rPr>
        <w:t xml:space="preserve">´</w:t>
      </w:r>
      <w:r>
        <w:rPr>
          <w:rFonts w:eastAsia="Calibri"/>
          <w:lang w:eastAsia="en-US"/>
        </w:rPr>
        <w:t xml:space="preserve"> 800 мм.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предусматривать выходы из кабельных сооружений непосредственно в щитовые помещения ПС.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кабельных сооружениях следует предусматривать световые указатели аварийных выходов с электропитанием от сети аварийного освещения.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местах возможного попадания искр и в районе установки задвижек на трубопроводах с перегретым паром необходимо предусматривать защиту кабелей экранами из негорючих материалов.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Кабельные трассы и кабельные сооружения, расположенные на расстоянии менее 10 м от технологического оборудования, которое может служить источником распространения пожара (например, баки с маслом и др</w:t>
      </w:r>
      <w:r>
        <w:rPr>
          <w:rFonts w:eastAsia="Calibri"/>
          <w:color w:val="000000"/>
          <w:lang w:eastAsia="en-US"/>
        </w:rPr>
        <w:t xml:space="preserve">.), должны отделяться перегородками из негорючих материалов с пределом</w:t>
      </w:r>
      <w:r>
        <w:rPr>
          <w:rFonts w:eastAsia="Calibri"/>
          <w:lang w:eastAsia="en-US"/>
        </w:rPr>
        <w:t xml:space="preserve"> огнестойкости </w:t>
      </w:r>
      <w:r>
        <w:rPr>
          <w:rFonts w:eastAsia="Calibri"/>
          <w:lang w:val="en-US" w:eastAsia="en-US"/>
        </w:rPr>
        <w:t xml:space="preserve">EI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45, </w:t>
      </w:r>
      <w:r>
        <w:rPr>
          <w:rFonts w:eastAsia="Calibri"/>
          <w:color w:val="000000"/>
          <w:spacing w:val="1"/>
          <w:lang w:eastAsia="en-US"/>
        </w:rPr>
        <w:t xml:space="preserve">или предусматривать защиту кабельных трасс негорючими материалами.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предусматривать параллельную прокладку кабелей над и п</w:t>
      </w:r>
      <w:r>
        <w:rPr>
          <w:rFonts w:eastAsia="Calibri"/>
          <w:lang w:eastAsia="en-US"/>
        </w:rPr>
        <w:t xml:space="preserve">од газопроводами, маслопроводами и другими трубопроводами с горючей жидкостью. В местах сближения (менее 1 м) и пересечения кабелей с указанными трубопроводами необходимо предусматривать защиту кабелей негорючими материалами на всем участке сближения плюс </w:t>
      </w:r>
      <w:r>
        <w:rPr>
          <w:rFonts w:eastAsia="Calibri"/>
          <w:lang w:eastAsia="en-US"/>
        </w:rPr>
        <w:t xml:space="preserve">не менее 0,5 м с каждой стороны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предусматривать в кабельных сооружениях размещение шкафов управления и других щитовых панелей, а также </w:t>
      </w:r>
      <w:r>
        <w:rPr>
          <w:rFonts w:eastAsia="Calibri"/>
          <w:lang w:eastAsia="en-US"/>
        </w:rPr>
        <w:t xml:space="preserve">прокладку транзитных</w:t>
      </w:r>
      <w:r>
        <w:rPr>
          <w:rFonts w:eastAsia="Calibri"/>
          <w:lang w:eastAsia="en-US"/>
        </w:rPr>
        <w:t xml:space="preserve"> трубопроводов и шинопроводов. </w:t>
      </w:r>
      <w:r>
        <w:rPr>
          <w:rFonts w:eastAsia="Calibri"/>
          <w:lang w:eastAsia="en-US"/>
        </w:rPr>
      </w:r>
    </w:p>
    <w:p>
      <w:pPr>
        <w:pStyle w:val="766"/>
        <w:contextualSpacing/>
        <w:ind w:left="0" w:firstLine="709"/>
        <w:jc w:val="both"/>
        <w:tabs>
          <w:tab w:val="left" w:pos="1276" w:leader="none"/>
          <w:tab w:val="left" w:pos="1418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Шкафы рядов зажимов, установленные в кабельных сооружениях, должны предусматриваться во влагонепроницаемом исполнении, а отверстия </w:t>
      </w:r>
      <w:r>
        <w:rPr>
          <w:rFonts w:eastAsia="Calibri"/>
          <w:sz w:val="28"/>
          <w:szCs w:val="28"/>
          <w:lang w:eastAsia="en-US"/>
        </w:rPr>
        <w:t xml:space="preserve">должны иметь уплотнения, предотвращающие попадание влаги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Запрещается применение металлических лотков со сплошным дном в кабельных этажах, туннелях, шахтах, галереях, </w:t>
      </w:r>
      <w:r>
        <w:rPr>
          <w:rFonts w:eastAsia="Calibri"/>
          <w:spacing w:val="-2"/>
          <w:lang w:eastAsia="en-US"/>
        </w:rPr>
        <w:t xml:space="preserve">в электротехнических и друг</w:t>
      </w:r>
      <w:r>
        <w:rPr>
          <w:rFonts w:eastAsia="Calibri"/>
          <w:spacing w:val="-2"/>
          <w:lang w:eastAsia="en-US"/>
        </w:rPr>
        <w:t xml:space="preserve">их производственных помещениях.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Прокладку кабельных линий в кабельных сооружениях и производственных помещениях ПС следует предусматривать по кабельным конструкциям открытым способом на консолях, по перфорированным или решетчатым лоткам.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кабельных сооружениях должна предусматриваться гидроизоляция и дренажные устро</w:t>
      </w:r>
      <w:r>
        <w:rPr>
          <w:rFonts w:eastAsia="Calibri"/>
          <w:lang w:eastAsia="en-US"/>
        </w:rPr>
        <w:t xml:space="preserve">йства. Уклон пола в сторону дренажных устройств должен быть не менее 0,005. Дренажные устройства должны работать в автоматическом режиме откачки или предусматриваться самотек стоков, в т.ч. с учетом отвода воды при работе автоматических установок водяного </w:t>
      </w:r>
      <w:r>
        <w:rPr>
          <w:rFonts w:eastAsia="Calibri"/>
          <w:lang w:eastAsia="en-US"/>
        </w:rPr>
        <w:t xml:space="preserve">пожаротушения.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местах прохода кабелей через строительные конструкции необходимо предусматривать их </w:t>
      </w:r>
      <w:r>
        <w:rPr>
          <w:rFonts w:eastAsia="Calibri"/>
          <w:lang w:val="ru-RU" w:eastAsia="en-US"/>
        </w:rPr>
        <w:t xml:space="preserve">заполн</w:t>
      </w:r>
      <w:r>
        <w:rPr>
          <w:rFonts w:eastAsia="Calibri"/>
          <w:lang w:eastAsia="en-US"/>
        </w:rPr>
        <w:t xml:space="preserve">ение несгораемыми материалами до обеспечения </w:t>
      </w:r>
      <w:r>
        <w:rPr>
          <w:rFonts w:eastAsia="Calibri"/>
          <w:lang w:eastAsia="en-US"/>
        </w:rPr>
        <w:t xml:space="preserve">требуемого </w:t>
      </w:r>
      <w:r>
        <w:rPr>
          <w:rFonts w:eastAsia="Calibri"/>
          <w:lang w:eastAsia="en-US"/>
        </w:rPr>
        <w:t xml:space="preserve">предела огнестойкости.</w:t>
      </w:r>
      <w:r/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предусматривать прокладку </w:t>
      </w:r>
      <w:r>
        <w:rPr>
          <w:rFonts w:eastAsia="Calibri"/>
          <w:lang w:eastAsia="en-US"/>
        </w:rPr>
        <w:t xml:space="preserve">силовых</w:t>
      </w:r>
      <w:r>
        <w:rPr>
          <w:rFonts w:eastAsia="Calibri"/>
          <w:lang w:eastAsia="en-US"/>
        </w:rPr>
        <w:t xml:space="preserve"> кабелей пучками в местах прохода кабелей через строительные конструкции. В этих местах кабели должны быть рассредоточены и каждый кабель уплотнен несгораемыми материалами.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Пересечение кабельных трасс следует предусматривать в разных плоскостях по отдельным кабельным металлоконструкциям.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Ограждающие строительные конструкции помещений пунктов подпитки маслонаполненных кабелей, размещаемые в кабельных сооружениях, должны предусматриваться с пределом огнестойкости не менее </w:t>
      </w:r>
      <w:r>
        <w:rPr>
          <w:rFonts w:eastAsia="Calibri"/>
          <w:lang w:val="en-US" w:eastAsia="en-US"/>
        </w:rPr>
        <w:t xml:space="preserve">RE</w:t>
      </w:r>
      <w:r>
        <w:rPr>
          <w:rFonts w:eastAsia="Calibri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 45. </w:t>
      </w:r>
      <w:r>
        <w:rPr>
          <w:rFonts w:eastAsia="Calibri"/>
          <w:lang w:eastAsia="en-US"/>
        </w:rPr>
        <w:t xml:space="preserve">Помещения этих пунктов должны делиться на отсеки, в каждом из которых должно предусматриваться размещение только одного подпитывающего агрегата.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дверных проемах подпитывающих пунктов должны предусматриваться пороги высотой не менее 150 мм.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каждом отсеке помещения подпитывающего пункта должна предусматриваться система маслоудаления, обеспечивающая удаление масла в маслосборник в течение 15 минут.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расположении кабельных сооружений друг над другом (несколько этажей), прокладка маслонаполненных кабелей должна предусматриваться в нижних этажах кабельных сооружений.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кабельных сооружениях (этажах, туннелях, шахтах, и т.п.) следует предусматривать применение кабельных проходок с пределом огнестойкости не менее </w:t>
      </w:r>
      <w:r>
        <w:rPr>
          <w:rFonts w:eastAsia="Calibri"/>
          <w:lang w:val="en-US" w:eastAsia="en-US"/>
        </w:rPr>
        <w:t xml:space="preserve">EI</w:t>
      </w:r>
      <w:r>
        <w:rPr>
          <w:rFonts w:eastAsia="Calibri"/>
          <w:lang w:eastAsia="en-US"/>
        </w:rPr>
        <w:t xml:space="preserve"> 45.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прохода через стены и перекрытия одиночных </w:t>
      </w:r>
      <w:r>
        <w:rPr>
          <w:rFonts w:eastAsia="Calibri"/>
          <w:lang w:eastAsia="en-US"/>
        </w:rPr>
        <w:t xml:space="preserve">силовых</w:t>
      </w:r>
      <w:r>
        <w:rPr>
          <w:rFonts w:eastAsia="Calibri"/>
          <w:lang w:eastAsia="en-US"/>
        </w:rPr>
        <w:t xml:space="preserve"> кабелей в количестве меньше 10 штук следует применять отрезки труб из несгораемых материалов с размещением в каждой трубе одного кабеля и его огнестойкого уплотнения.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Запрещается прокладка транзитных кабельных линий в металлических коробах, проходящих через помещения щитов управления, релейных щитов и распределительных устройств ПС.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Прокладку силовых кабелей в шахтах следует предусматривать однорядно, а контрольных кабелей в пучках (диаметром не более 100 мм) - по перфорированным конструкциям.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территории ОРУ следует применять железобетонные лотки, каналы или туннели. Не допускается применение кабельных металлических коробов (типов КП, ККБ и т.п.).</w:t>
      </w:r>
      <w:r>
        <w:rPr>
          <w:rFonts w:eastAsia="Calibri"/>
          <w:lang w:eastAsia="en-US"/>
        </w:rPr>
      </w:r>
    </w:p>
    <w:p>
      <w:pPr>
        <w:pStyle w:val="766"/>
        <w:ind w:left="0" w:firstLine="709"/>
        <w:jc w:val="both"/>
        <w:tabs>
          <w:tab w:val="left" w:pos="1276" w:leader="none"/>
          <w:tab w:val="left" w:pos="1418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 w:clear="all"/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ind w:left="0" w:firstLine="709"/>
        <w:jc w:val="both"/>
        <w:tabs>
          <w:tab w:val="left" w:pos="1276" w:leader="none"/>
          <w:tab w:val="left" w:pos="1418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7"/>
        <w:spacing w:after="0"/>
      </w:pPr>
      <w:r/>
      <w:bookmarkStart w:id="26" w:name="_Toc99010091"/>
      <w:r/>
      <w:bookmarkStart w:id="27" w:name="_Toc125619803"/>
      <w:r/>
      <w:bookmarkStart w:id="28" w:name="РУ_ПС_35_кВ_и_выше"/>
      <w:r>
        <w:t xml:space="preserve">Распределительные устройства подстанций напряжением 35 </w:t>
      </w:r>
      <w:r>
        <w:t xml:space="preserve">кВ и выше</w:t>
      </w:r>
      <w:bookmarkEnd w:id="26"/>
      <w:r/>
      <w:bookmarkEnd w:id="27"/>
      <w:r/>
      <w:r/>
    </w:p>
    <w:p>
      <w:pPr>
        <w:pStyle w:val="766"/>
        <w:contextualSpacing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/>
      <w:bookmarkEnd w:id="28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6"/>
        </w:numPr>
        <w:ind w:left="0" w:firstLine="709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ОРУ и ЗРУ ПС напряжением 35 кВ и выше должен предусматриваться комплекс противопожарных мероприятий в зависимости от отнесения подстанций к определенной группе, указанной в таблице 1.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6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pStyle w:val="766"/>
        <w:ind w:left="0"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Таблица 1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tbl>
      <w:tblPr>
        <w:tblW w:w="10371" w:type="dxa"/>
        <w:jc w:val="righ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168"/>
        <w:gridCol w:w="3969"/>
        <w:gridCol w:w="223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Номинальное напряжение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 xml:space="preserve">подстанции</w:t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Мощность установленных </w:t>
            </w:r>
            <w:r>
              <w:rPr>
                <w:rFonts w:eastAsia="Calibri"/>
                <w:b/>
                <w:lang w:eastAsia="en-US"/>
              </w:rPr>
              <w:t xml:space="preserve">силовых трансформаторов</w:t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W w:w="2234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Группа</w:t>
            </w:r>
            <w:r>
              <w:rPr>
                <w:rFonts w:eastAsia="Calibri"/>
                <w:b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500 кВ и выше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Независимо от мощности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restart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I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220 и 330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200 МВ А и выше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continue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Закрытые ПС 110 кВ и выше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63 МВ А и выше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continue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220 и 330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 40 до 200 МВ 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restart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II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top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110 и 154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63 МВ А и выше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continue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220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Менее 40 МВ 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restart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III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110 и 154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Менее 63 МВ 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continue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0"/>
        </w:trPr>
        <w:tc>
          <w:tcPr>
            <w:tcBorders>
              <w:top w:val="single" w:color="000000" w:sz="4" w:space="0"/>
            </w:tcBorders>
            <w:tcW w:w="4168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35 кВ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66"/>
              <w:ind w:left="0"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Менее 80 МВ 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234" w:type="dxa"/>
            <w:vAlign w:val="top"/>
            <w:vMerge w:val="continue"/>
            <w:textDirection w:val="lrTb"/>
            <w:noWrap w:val="false"/>
          </w:tcPr>
          <w:p>
            <w:pPr>
              <w:pStyle w:val="766"/>
              <w:ind w:left="0"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766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pStyle w:val="768"/>
        <w:spacing w:line="240" w:lineRule="auto"/>
      </w:pPr>
      <w:r>
        <w:t xml:space="preserve">Объемно-планировочные требования пожарной бе</w:t>
      </w:r>
      <w:r>
        <w:t xml:space="preserve">зопасности для зданий, сооружений и оборудования ОРУ и ЗРУ ПС должны соответствовать требованиям действующих технических регламентов, федеральных нормативных документов, действующих сводов правил, содержащих требования пожарной безопасности, и требованиям </w:t>
      </w:r>
      <w:r>
        <w:fldChar w:fldCharType="begin"/>
      </w:r>
      <w:r>
        <w:instrText xml:space="preserve"> HYPERLINK "kodeks://link/d?nd=1200003114" \o "\"Правила устройства электроустановок (ПУЭ). Оглавление\" " </w:instrText>
      </w:r>
      <w:r>
        <w:fldChar w:fldCharType="separate"/>
      </w:r>
      <w:r>
        <w:rPr>
          <w:rStyle w:val="861"/>
          <w:color w:val="000000"/>
        </w:rPr>
        <w:t xml:space="preserve">ПУЭ</w:t>
      </w:r>
      <w:r>
        <w:rPr>
          <w:rStyle w:val="861"/>
          <w:color w:val="000000"/>
        </w:rPr>
        <w:fldChar w:fldCharType="end"/>
      </w:r>
      <w:r>
        <w:t xml:space="preserve">.</w:t>
      </w:r>
      <w:r/>
    </w:p>
    <w:p>
      <w:pPr>
        <w:pStyle w:val="768"/>
        <w:spacing w:line="240" w:lineRule="auto"/>
      </w:pPr>
      <w:r>
        <w:t xml:space="preserve">Проектная д</w:t>
      </w:r>
      <w:r>
        <w:t xml:space="preserve">окументация </w:t>
      </w:r>
      <w:r>
        <w:t xml:space="preserve">на здания, сооружения, строительные конструкции, инженерное оборудование и строительные материалы должна содержать пожарно-технические характеристики</w:t>
      </w:r>
      <w:r>
        <w:t xml:space="preserve">, предусмотренные действующими нормативными документами</w:t>
      </w:r>
      <w:r>
        <w:t xml:space="preserve"> по пожарной безопасности</w:t>
      </w:r>
      <w:r>
        <w:t xml:space="preserve">.</w:t>
      </w:r>
      <w:r/>
    </w:p>
    <w:p>
      <w:pPr>
        <w:pStyle w:val="768"/>
        <w:spacing w:line="240" w:lineRule="auto"/>
      </w:pPr>
      <w:r>
        <w:t xml:space="preserve">Технологическое оборудование ПС </w:t>
      </w:r>
      <w:r>
        <w:t xml:space="preserve">и связанные с ним технологические процессы должны разрабатываться и размещаться таким образом, чтобы предотвратить возможность взрыва и (или) пожара в технологическом оборудовании при регламентированных значениях их параметров при нормальном режиме работы.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Служебные и вс</w:t>
      </w:r>
      <w:r>
        <w:rPr>
          <w:rFonts w:eastAsia="Calibri"/>
          <w:lang w:eastAsia="en-US"/>
        </w:rPr>
        <w:t xml:space="preserve">помогательные помещения в зданиях и сооружениях ПС должны отделяться от помещений с технологическим оборудованием (распределительных устройств, силовых маслонаполненных трансформаторов и т.п.) противопожарными преградами с пределами огнестойкости не менее </w:t>
      </w:r>
      <w:r>
        <w:rPr>
          <w:rFonts w:eastAsia="Calibri"/>
          <w:lang w:val="en-US" w:eastAsia="en-US"/>
        </w:rPr>
        <w:t xml:space="preserve">REI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45</w:t>
      </w:r>
      <w:r>
        <w:rPr>
          <w:rFonts w:eastAsia="Calibri"/>
          <w:lang w:eastAsia="en-US"/>
        </w:rPr>
        <w:t xml:space="preserve">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помещениях регенерации масла, маслоохладителей трансформаторов и закрытой установки трансформаторов должны предусматриваться мероприятия, предотвращающие попадание (растекание) масла в другие помещения, кабельные каналы и в коридоры обслуживания.</w:t>
      </w:r>
      <w:r/>
    </w:p>
    <w:p>
      <w:pPr>
        <w:pStyle w:val="766"/>
        <w:contextualSpacing/>
        <w:ind w:left="0" w:firstLine="709"/>
        <w:jc w:val="both"/>
        <w:tabs>
          <w:tab w:val="left" w:pos="1134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 xml:space="preserve">Отвод масла из этих помещений должен предусматриваться в</w:t>
      </w:r>
      <w:r>
        <w:rPr>
          <w:sz w:val="28"/>
          <w:szCs w:val="28"/>
          <w:lang w:eastAsia="en-US"/>
        </w:rPr>
        <w:t xml:space="preserve"> маслосборник</w:t>
      </w:r>
      <w:r>
        <w:rPr>
          <w:sz w:val="28"/>
          <w:szCs w:val="28"/>
          <w:lang w:val="en-US" w:eastAsia="en-US"/>
        </w:rPr>
        <w:t xml:space="preserve">, если количество масла в единице оборудования составляет более 600 кг.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spacing w:line="240" w:lineRule="auto"/>
        <w:rPr>
          <w:rFonts w:eastAsia="Calibri"/>
          <w:lang w:eastAsia="en-US"/>
        </w:rPr>
      </w:pPr>
      <w:r>
        <w:t xml:space="preserve">Расстояние от резервуаров открытых складов масла до зданий и сооружений ПС, аппаратной маслохозяйства, до внешней ограды ПС определяется в соответствии с требованиями </w:t>
      </w:r>
      <w:r>
        <w:fldChar w:fldCharType="begin"/>
      </w:r>
      <w:r>
        <w:instrText xml:space="preserve"> HYPERLINK "kodeks://link/d?nd=1200003114" \o "\"Правила устройства электроустановок (ПУЭ). Оглавление\" " </w:instrText>
      </w:r>
      <w:r>
        <w:fldChar w:fldCharType="separate"/>
      </w:r>
      <w:r>
        <w:rPr>
          <w:rStyle w:val="861"/>
          <w:color w:val="e48b00"/>
        </w:rPr>
        <w:t xml:space="preserve">ПУЭ</w:t>
      </w:r>
      <w:r>
        <w:rPr>
          <w:rStyle w:val="861"/>
          <w:color w:val="e48b00"/>
        </w:rPr>
        <w:fldChar w:fldCharType="end"/>
      </w:r>
      <w:r>
        <w:t xml:space="preserve">, но не менее </w:t>
      </w:r>
      <w:r>
        <w:t xml:space="preserve">30м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</w:pPr>
      <w:r>
        <w:t xml:space="preserve">Разделительные </w:t>
      </w:r>
      <w:r>
        <w:t xml:space="preserve">преграды</w:t>
      </w:r>
      <w:r>
        <w:t xml:space="preserve"> с пределом огнестойкости не менее </w:t>
      </w:r>
      <w:r>
        <w:rPr>
          <w:lang w:val="en-US"/>
        </w:rPr>
        <w:t xml:space="preserve">R</w:t>
      </w:r>
      <w:r>
        <w:t xml:space="preserve"> 90 должны предусматриваться между открыто установленными трансформаторами напряжением 110 кВ и выше единичной мощностью 63 МВ·А и более.</w:t>
      </w:r>
      <w:r/>
    </w:p>
    <w:p>
      <w:pPr>
        <w:pStyle w:val="766"/>
        <w:contextualSpacing/>
        <w:ind w:left="0" w:firstLine="709"/>
        <w:jc w:val="both"/>
        <w:tabs>
          <w:tab w:val="left" w:pos="1134" w:leader="none"/>
          <w:tab w:val="left" w:pos="921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по расположению разделительных </w:t>
      </w:r>
      <w:r>
        <w:rPr>
          <w:sz w:val="28"/>
          <w:szCs w:val="28"/>
        </w:rPr>
        <w:t xml:space="preserve">преград</w:t>
      </w:r>
      <w:r>
        <w:rPr>
          <w:sz w:val="28"/>
          <w:szCs w:val="28"/>
        </w:rPr>
        <w:t xml:space="preserve"> относительно маслонаполненного оборудования подстанций и их геометрическим размерам установлены в главе 4.2 </w:t>
      </w:r>
      <w:r>
        <w:fldChar w:fldCharType="begin"/>
      </w:r>
      <w:r>
        <w:instrText xml:space="preserve"> HYPERLINK "kodeks://link/d?nd=1200003114" \o "\"Правила устройства электроустановок (ПУЭ). Оглавление\" " </w:instrText>
      </w:r>
      <w:r>
        <w:fldChar w:fldCharType="separate"/>
      </w:r>
      <w:r>
        <w:rPr>
          <w:rStyle w:val="861"/>
          <w:color w:val="e48b00"/>
          <w:sz w:val="28"/>
          <w:szCs w:val="28"/>
        </w:rPr>
        <w:t xml:space="preserve">ПУЭ</w:t>
      </w:r>
      <w:r>
        <w:rPr>
          <w:rStyle w:val="861"/>
          <w:color w:val="e48b00"/>
          <w:sz w:val="28"/>
          <w:szCs w:val="28"/>
        </w:rP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Расстояние от конструкций, порталов и оборудования ПС и ОРУ до границ лесного массива хвойных пород и мест разработки или открытого залегания торфа следует принимать 100 м, смешанных пород - 50 метров, а до лиственных пород - 20 метров.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При размещении ПС и ОРУ в лесных массивах, когда строительство их связано с вырубкой леса, указанные расстояния до лесных массивов хвойных пород допускается сокращать в 2 раза</w:t>
      </w:r>
      <w:r>
        <w:rPr>
          <w:rFonts w:eastAsia="Calibri"/>
          <w:lang w:eastAsia="en-US"/>
        </w:rPr>
        <w:t xml:space="preserve">, при этом предусмотреть </w:t>
      </w:r>
      <w:r>
        <w:rPr>
          <w:rFonts w:eastAsia="Calibri"/>
          <w:lang w:eastAsia="en-US"/>
        </w:rPr>
        <w:t xml:space="preserve">выполнение дороги с твердым покрытием в охранной зоне подстанции для</w:t>
      </w:r>
      <w:r>
        <w:rPr>
          <w:rFonts w:eastAsia="Calibri"/>
          <w:lang w:val="ru-RU" w:eastAsia="en-US"/>
        </w:rPr>
        <w:t xml:space="preserve"> </w:t>
      </w:r>
      <w:r>
        <w:rPr>
          <w:rFonts w:eastAsia="Calibri"/>
          <w:lang w:eastAsia="en-US"/>
        </w:rPr>
        <w:t xml:space="preserve">проезда пожарной техники </w:t>
      </w:r>
      <w:r>
        <w:rPr>
          <w:rFonts w:eastAsia="Calibri"/>
          <w:lang w:val="ru-RU" w:eastAsia="en-US"/>
        </w:rPr>
        <w:t xml:space="preserve">и</w:t>
      </w:r>
      <w:r>
        <w:rPr>
          <w:rFonts w:eastAsia="Calibri"/>
          <w:lang w:eastAsia="en-US"/>
        </w:rPr>
        <w:t xml:space="preserve"> возможност</w:t>
      </w:r>
      <w:r>
        <w:rPr>
          <w:rFonts w:eastAsia="Calibri"/>
          <w:lang w:val="ru-RU" w:eastAsia="en-US"/>
        </w:rPr>
        <w:t xml:space="preserve">и</w:t>
      </w:r>
      <w:r>
        <w:rPr>
          <w:rFonts w:eastAsia="Calibri"/>
          <w:lang w:eastAsia="en-US"/>
        </w:rPr>
        <w:t xml:space="preserve"> использования дороги в качестве минерализованной полосы</w:t>
      </w:r>
      <w:r>
        <w:rPr>
          <w:rFonts w:eastAsia="Calibri"/>
          <w:lang w:eastAsia="en-US"/>
        </w:rPr>
        <w:t xml:space="preserve">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Расстояния до мест открытого залегания торфа допускается сокращать в 2 раза при условии засыпки торфа слоем земли толщиной не менее 0,5 м в пределах половины расстояния, указанного выше.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Расстояние от ограды ПС и ОРУ до границы лесного массива или открытого залегания торфа должно быть не менее 5 м.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северных климатических районах допускается выполнять маслоотводы от маслонаполненного силового оборудования открытой установки по специальным наземным лоткам, закрытым бетонными плитами.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На системах отвода масла от трансформаторов (реакторов), при исключении засыпки грав</w:t>
      </w:r>
      <w:r>
        <w:rPr>
          <w:rFonts w:eastAsia="Calibri"/>
          <w:lang w:eastAsia="en-US"/>
        </w:rPr>
        <w:t xml:space="preserve">ием дна маслоприемников по всей площади, следует предусматривать установку огнепреградителей или гидрозатворов на маслоотводах. Допускается выполнять приемные маслоуловители путем устройства засыпки его слоем гравия, толщиной не менее 0,25 м и размером 1х1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м.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маслоприемниках без отвода масла должны предусматриваться устройства для откачки и контроля наличия масла и воды.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В </w:t>
      </w:r>
      <w:r>
        <w:rPr>
          <w:rFonts w:eastAsia="Calibri"/>
          <w:lang w:val="ru-RU" w:eastAsia="en-US"/>
        </w:rPr>
        <w:t xml:space="preserve">ограждениях</w:t>
      </w:r>
      <w:r>
        <w:rPr>
          <w:rFonts w:eastAsia="Calibri"/>
          <w:lang w:eastAsia="en-US"/>
        </w:rPr>
        <w:t xml:space="preserve"> маслоприемников в местах прохода рельсов для выкатки маслонаполненного оборудования необходимо предусматривать заделку несгораемыми материалами.</w:t>
      </w:r>
      <w:r/>
    </w:p>
    <w:p>
      <w:pPr>
        <w:pStyle w:val="768"/>
        <w:spacing w:line="240" w:lineRule="auto"/>
      </w:pPr>
      <w:r>
        <w:t xml:space="preserve">Внутренние поверхности маслоприемника, ограждения маслоприемника и маслосборника должны быть защищены маслостойким покрытием.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Маслосборники должны предусматриваться закрытого типа и рассчитываться на полный объем масла единичного оборудования (трансформатора, реактора), содержащего наибольшее количество, а также 80 </w:t>
      </w:r>
      <w:r>
        <w:rPr>
          <w:rFonts w:eastAsia="Calibri"/>
          <w:lang w:eastAsia="en-US"/>
        </w:rPr>
        <w:t xml:space="preserve">% расхода</w:t>
      </w:r>
      <w:r>
        <w:rPr>
          <w:rFonts w:eastAsia="Calibri"/>
          <w:lang w:eastAsia="en-US"/>
        </w:rPr>
        <w:t xml:space="preserve"> воды при работе автоматических установок пожаротушения (с учетом 30-минутного запаса).</w:t>
      </w:r>
      <w:r/>
    </w:p>
    <w:p>
      <w:pPr>
        <w:pStyle w:val="766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На ПС без автоматического пожаро</w:t>
      </w:r>
      <w:r>
        <w:rPr>
          <w:color w:val="000000"/>
          <w:sz w:val="28"/>
        </w:rPr>
        <w:t xml:space="preserve">тушения емкость маслосборника рассчитывается из условия размещения 100% масла и 20% расчетного расхода воды из пожарной техники. Интенсивность орошения поверхности трансформатора принимают равной 0,2 л/с х м2. Продолжительность (время) тушения - 15 минут.)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426" w:leader="none"/>
          <w:tab w:val="left" w:pos="993" w:leader="none"/>
          <w:tab w:val="left" w:pos="1276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Маслосборники должны оборудоваться сигнализацией уровня заполнения с выводом сигнала на щит управления ПС.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ind w:left="0" w:firstLine="709"/>
        <w:jc w:val="both"/>
        <w:tabs>
          <w:tab w:val="left" w:pos="1276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7"/>
        <w:spacing w:after="0"/>
      </w:pPr>
      <w:r/>
      <w:bookmarkStart w:id="29" w:name="_Toc99010092"/>
      <w:r/>
      <w:bookmarkStart w:id="30" w:name="_Toc125619804"/>
      <w:r/>
      <w:bookmarkStart w:id="31" w:name="АСУ_ТП"/>
      <w:r>
        <w:t xml:space="preserve">Помещения автоматизированных систем управления технологическим процессом и система централизованного ко</w:t>
      </w:r>
      <w:r>
        <w:t xml:space="preserve">нтроля, управления и автоматики</w:t>
      </w:r>
      <w:bookmarkEnd w:id="29"/>
      <w:r/>
      <w:bookmarkEnd w:id="30"/>
      <w:r/>
      <w:r/>
    </w:p>
    <w:p>
      <w:pPr>
        <w:pStyle w:val="766"/>
        <w:contextualSpacing/>
        <w:ind w:left="0" w:firstLine="709"/>
        <w:jc w:val="both"/>
        <w:tabs>
          <w:tab w:val="left" w:pos="993" w:leader="none"/>
          <w:tab w:val="left" w:pos="9072" w:leader="none"/>
        </w:tabs>
        <w:rPr>
          <w:b/>
          <w:sz w:val="28"/>
          <w:szCs w:val="28"/>
        </w:rPr>
      </w:pPr>
      <w:r/>
      <w:bookmarkEnd w:id="31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7"/>
        </w:numPr>
        <w:ind w:left="0" w:firstLine="709"/>
        <w:spacing w:line="240" w:lineRule="auto"/>
      </w:pPr>
      <w:r>
        <w:rPr>
          <w:rFonts w:eastAsia="Calibri"/>
          <w:lang w:eastAsia="en-US"/>
        </w:rPr>
        <w:t xml:space="preserve">Требования настоящего раздела распространяются на помещения с устройствами ЭВМ АСУ ТП подстанций, размещаемые непосредственно в производственных зданиях (корпусах) этих предприятий.</w:t>
      </w:r>
      <w:r/>
    </w:p>
    <w:p>
      <w:pPr>
        <w:pStyle w:val="768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Размещение отдельных стоек систем контроля и управления допускается предусматривать непосредственно в помещениях щитов управления. В этом случае требования к строительным конструкциям должны быть как к щитовым помещениям управления.</w:t>
      </w:r>
      <w:r>
        <w:rPr>
          <w:rFonts w:eastAsia="Calibri"/>
          <w:lang w:eastAsia="en-US"/>
        </w:rPr>
      </w:r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Прокладка транзитных технологических коммуникаций, вентиляционных коробов и кабелей через помещения АСУ ТП не допускается.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Системы вентиляции и кондиционирования воздуха помещений АСУ ТП должны выполняться из негорючих материалов и оборудоваться устройствами, обеспечивающими их отключение при пожаре, как по месту их установки, так и со щита управления.</w:t>
      </w:r>
      <w:r/>
    </w:p>
    <w:p>
      <w:pPr>
        <w:pStyle w:val="768"/>
        <w:spacing w:line="240" w:lineRule="auto"/>
      </w:pPr>
      <w:r>
        <w:rPr>
          <w:rFonts w:eastAsia="Calibri"/>
          <w:lang w:eastAsia="en-US"/>
        </w:rPr>
        <w:t xml:space="preserve">Прокладку кабелей АСУ ТП следует, как правило, предусматривать в общих кабельных сооружениях.</w:t>
      </w:r>
      <w:r/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560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вынужденной прокладке кабелей в подпольных пространствах помещений АСУ ТП, кабельные линии должны прокладываться в каналах, имеющих защиту от распространения пожара, или покрыты огнезащитными составами.</w:t>
      </w:r>
      <w:r>
        <w:rPr>
          <w:sz w:val="28"/>
          <w:szCs w:val="28"/>
        </w:rPr>
      </w:r>
    </w:p>
    <w:p>
      <w:pPr>
        <w:pStyle w:val="768"/>
        <w:spacing w:line="240" w:lineRule="auto"/>
      </w:pPr>
      <w:r>
        <w:t xml:space="preserve">Помещения для </w:t>
      </w:r>
      <w:r>
        <w:t xml:space="preserve">размещения оборудования АСУ ТП </w:t>
      </w:r>
      <w:r>
        <w:t xml:space="preserve">необходимо оснащать АУП.</w:t>
      </w:r>
      <w:r/>
    </w:p>
    <w:p>
      <w:pPr>
        <w:pStyle w:val="768"/>
        <w:spacing w:line="240" w:lineRule="auto"/>
      </w:pPr>
      <w:r>
        <w:t xml:space="preserve">Кабельные помещения</w:t>
      </w:r>
      <w:r>
        <w:t xml:space="preserve">, </w:t>
      </w:r>
      <w:r>
        <w:t xml:space="preserve">оснащаются АУП исходя из </w:t>
      </w:r>
      <w:r>
        <w:t xml:space="preserve">категории по взрывопожарной и пожарной опасности</w:t>
      </w:r>
      <w:r>
        <w:rPr>
          <w:lang w:val="ru-RU"/>
        </w:rPr>
        <w:t xml:space="preserve">.</w:t>
      </w:r>
      <w:r/>
    </w:p>
    <w:p>
      <w:pPr>
        <w:pStyle w:val="766"/>
        <w:ind w:left="0" w:firstLine="709"/>
        <w:jc w:val="both"/>
        <w:tabs>
          <w:tab w:val="left" w:pos="1276" w:leader="none"/>
        </w:tabs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</w:r>
      <w:r>
        <w:rPr>
          <w:color w:val="000001"/>
          <w:sz w:val="28"/>
          <w:szCs w:val="28"/>
        </w:rPr>
      </w:r>
    </w:p>
    <w:p>
      <w:pPr>
        <w:pStyle w:val="767"/>
        <w:spacing w:after="0"/>
      </w:pPr>
      <w:r/>
      <w:bookmarkStart w:id="32" w:name="_Toc99010093"/>
      <w:r/>
      <w:bookmarkStart w:id="33" w:name="_Toc125619805"/>
      <w:r/>
      <w:bookmarkStart w:id="34" w:name="Водоснабжение"/>
      <w:r>
        <w:t xml:space="preserve">Противопожарное водоснабжение</w:t>
      </w:r>
      <w:bookmarkEnd w:id="32"/>
      <w:r/>
      <w:bookmarkEnd w:id="33"/>
      <w:r/>
      <w:r/>
    </w:p>
    <w:p>
      <w:pPr>
        <w:pStyle w:val="766"/>
        <w:ind w:left="0" w:firstLine="709"/>
        <w:jc w:val="both"/>
        <w:widowControl w:val="off"/>
        <w:tabs>
          <w:tab w:val="left" w:pos="0" w:leader="none"/>
          <w:tab w:val="left" w:pos="709" w:leader="none"/>
          <w:tab w:val="left" w:pos="1276" w:leader="none"/>
          <w:tab w:val="left" w:pos="9072" w:leader="none"/>
        </w:tabs>
        <w:rPr>
          <w:b/>
          <w:sz w:val="28"/>
          <w:szCs w:val="28"/>
        </w:rPr>
      </w:pPr>
      <w:r/>
      <w:bookmarkEnd w:id="34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numPr>
          <w:ilvl w:val="1"/>
          <w:numId w:val="38"/>
        </w:numPr>
        <w:ind w:left="0" w:firstLine="709"/>
        <w:spacing w:line="240" w:lineRule="auto"/>
        <w:rPr>
          <w:b/>
        </w:rPr>
      </w:pPr>
      <w:r/>
      <w:bookmarkStart w:id="35" w:name="Водоснабжение_Осн_требования"/>
      <w:r>
        <w:rPr>
          <w:b/>
        </w:rPr>
        <w:t xml:space="preserve">Основные</w:t>
      </w:r>
      <w:r>
        <w:rPr>
          <w:b/>
        </w:rPr>
        <w:t xml:space="preserve"> </w:t>
      </w:r>
      <w:r>
        <w:rPr>
          <w:b/>
        </w:rPr>
        <w:t xml:space="preserve">требования</w:t>
      </w:r>
      <w:r>
        <w:rPr>
          <w:b/>
        </w:rPr>
      </w:r>
      <w:r>
        <w:rPr>
          <w:b/>
        </w:rPr>
      </w:r>
    </w:p>
    <w:p>
      <w:pPr>
        <w:pStyle w:val="792"/>
        <w:ind w:left="0" w:firstLine="709"/>
        <w:jc w:val="both"/>
        <w:tabs>
          <w:tab w:val="left" w:pos="0" w:leader="none"/>
          <w:tab w:val="left" w:pos="1134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9"/>
        <w:ind w:left="0" w:firstLine="709"/>
        <w:rPr>
          <w:color w:val="000000"/>
        </w:rPr>
      </w:pPr>
      <w:r/>
      <w:bookmarkEnd w:id="35"/>
      <w:r>
        <w:rPr>
          <w:rFonts w:eastAsia="Calibri"/>
          <w:lang w:eastAsia="en-US"/>
        </w:rPr>
        <w:t xml:space="preserve">Здания, сооружения и территории объектов электросетевых предприятий должны иметь источники противопожарного водоснабжения для </w:t>
      </w:r>
      <w:r>
        <w:rPr>
          <w:rFonts w:eastAsia="Calibri"/>
          <w:color w:val="000000"/>
          <w:lang w:eastAsia="en-US"/>
        </w:rPr>
        <w:t xml:space="preserve">тушения пожаров.</w:t>
      </w:r>
      <w:r>
        <w:rPr>
          <w:color w:val="000000"/>
        </w:rPr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rFonts w:eastAsia="Calibri"/>
          <w:color w:val="000000"/>
          <w:lang w:eastAsia="en-US"/>
        </w:rPr>
        <w:t xml:space="preserve">В качестве источников противопожарного водоснабжения могут использоваться естественные и искусственные водоемы (резервуары), а также питьевые, хозяйственно-питьевые, хозяйственные и противопожарные водопроводы.</w:t>
      </w:r>
      <w:r>
        <w:rPr>
          <w:rFonts w:eastAsia="Calibri"/>
          <w:color w:val="000000"/>
          <w:lang w:eastAsia="en-US"/>
        </w:rPr>
        <w:t xml:space="preserve"> Качество воды, предназначенной для тушения пожаров, должно соответствовать условиям эксплуатации пожарного оборудования и применяемым способам пожаротушения.</w:t>
      </w:r>
      <w:r>
        <w:rPr>
          <w:color w:val="000000"/>
        </w:rPr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rFonts w:eastAsia="Calibri"/>
          <w:color w:val="000000"/>
          <w:lang w:eastAsia="en-US"/>
        </w:rPr>
        <w:t xml:space="preserve">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пожаров.</w:t>
      </w:r>
      <w:r>
        <w:rPr>
          <w:color w:val="000000"/>
        </w:rPr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Противопожарный водопровод должен обеспечивать наружное и внутреннее пожаротушение зданий и сооружений, а также работу автоматических установок пожаротушения.</w:t>
      </w:r>
      <w:r>
        <w:rPr>
          <w:color w:val="000000"/>
        </w:rPr>
      </w:r>
    </w:p>
    <w:p>
      <w:pPr>
        <w:pStyle w:val="769"/>
        <w:ind w:left="0" w:firstLine="709"/>
      </w:pPr>
      <w:r>
        <w:t xml:space="preserve">Необходимость устройства иск</w:t>
      </w:r>
      <w:r>
        <w:t xml:space="preserve">усственных водоемов, использования естественных водоемов и устройства противопожарного водопровода, а также их параметры должны определяться в соответствии с требованиями действующих на момент проектирования нормативных документов по пожарной безопасности.</w:t>
      </w:r>
      <w:r/>
    </w:p>
    <w:p>
      <w:pPr>
        <w:pStyle w:val="769"/>
        <w:ind w:left="0" w:firstLine="709"/>
      </w:pPr>
      <w:r>
        <w:t xml:space="preserve">Необходимость устройства внутреннего противопожарного водопровода, а также минимальный расход воды на пожаротушение следует определять в соответствии с требованиями действующих на момент проектирования нормативных документов по пожарной безопасности.</w:t>
      </w:r>
      <w:r/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Внутренний противопожарный водопровод предусматривать не требуется в производственных </w:t>
      </w:r>
      <w:r>
        <w:rPr>
          <w:color w:val="000000"/>
        </w:rPr>
        <w:t xml:space="preserve">зданиях:</w:t>
      </w:r>
      <w:r>
        <w:rPr>
          <w:color w:val="000000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в производственных и складских зданиях I и II степеней огнестойкости категорий Г и Д независимо от их объема, а также производственных и складских зданиях III - V степеней огнестойкости категорий Г и Д объемом не более 5000 м3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в трансформаторных подстанциях и в помещениях с электросиловым оборудованием, в том числе насосных станций и вент</w:t>
      </w:r>
      <w:r>
        <w:rPr>
          <w:sz w:val="28"/>
          <w:szCs w:val="28"/>
        </w:rPr>
        <w:t xml:space="preserve">иляционных </w:t>
      </w:r>
      <w:r>
        <w:rPr>
          <w:sz w:val="28"/>
          <w:szCs w:val="28"/>
        </w:rPr>
        <w:t xml:space="preserve">камер.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1276" w:leader="none"/>
          <w:tab w:val="left" w:pos="9072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закрытых</w:t>
      </w:r>
      <w:r>
        <w:rPr>
          <w:color w:val="000000"/>
          <w:sz w:val="28"/>
          <w:szCs w:val="28"/>
        </w:rPr>
        <w:t xml:space="preserve"> распределительных устройств</w:t>
      </w:r>
      <w:r>
        <w:rPr>
          <w:color w:val="000000"/>
          <w:sz w:val="28"/>
          <w:szCs w:val="28"/>
        </w:rPr>
        <w:t xml:space="preserve">, переходных и переключательных пункт</w:t>
      </w:r>
      <w:r>
        <w:rPr>
          <w:color w:val="000000"/>
          <w:sz w:val="28"/>
          <w:szCs w:val="28"/>
        </w:rPr>
        <w:t xml:space="preserve">ов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</w:p>
    <w:p>
      <w:pPr>
        <w:pStyle w:val="769"/>
        <w:ind w:left="0" w:firstLine="709"/>
      </w:pPr>
      <w:r>
        <w:t xml:space="preserve">Задвижки (затворы) на трубопроводах любого диаметра при дистанционном или автоматическом управлении должны быть</w:t>
        <w:br w:type="textWrapping" w:clear="all"/>
        <w:t xml:space="preserve">с электроприводом.</w:t>
      </w:r>
      <w:r/>
    </w:p>
    <w:p>
      <w:pPr>
        <w:pStyle w:val="769"/>
        <w:ind w:left="0" w:firstLine="709"/>
      </w:pPr>
      <w:r>
        <w:t xml:space="preserve">Пожарные гидранты надлежит предусматривать вдоль дорожных покрытий на расстоянии не более 2,5 м от края проезжей части, но не ближе </w:t>
        <w:br w:type="textWrapping" w:clear="all"/>
        <w:t xml:space="preserve">5 м от стен зданий; допускается располагать гидранты на проезжей части.</w:t>
      </w:r>
      <w:r/>
    </w:p>
    <w:p>
      <w:pPr>
        <w:pStyle w:val="769"/>
        <w:ind w:left="0" w:firstLine="709"/>
      </w:pPr>
      <w:r>
        <w:t xml:space="preserve">Выбор диаметров труб водоводов и водопроводных сетей надлежит производить на основании технико-экономических расчетов, учитывая при этом условия их работы при аварийном выключении отдельных участков.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При постоянном или периодическом недостатке давления</w:t>
        <w:br w:type="textWrapping" w:clear="all"/>
        <w:t xml:space="preserve">во внутреннем противопожарном водопроводе надлежит предусматривать устройство пожарных насосных установок.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При дистанционном пуске насосных установок противопожарного водоснабжения пусковые кнопки следует устанавливать в пожарных шкафах или рядом с ними.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Насосные установки противопожарного водоснабжения, как правило, следует размещать в насосных станциях.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Трубопроводы в насосных стан</w:t>
      </w:r>
      <w:r>
        <w:rPr>
          <w:rFonts w:eastAsia="Calibri"/>
          <w:lang w:eastAsia="en-US"/>
        </w:rPr>
        <w:t xml:space="preserve">циях противопожарного водоснабжения, а также всасывающие линии за пределами насосных станций противопожарного водоснабжения следует проектировать из стальных труб на сварке с применением фланцевых соединений для присоединения к пожарным насосам и арматуре.</w:t>
      </w:r>
      <w:r/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1418" w:leader="none"/>
          <w:tab w:val="left" w:pos="1560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8"/>
        <w:spacing w:line="240" w:lineRule="auto"/>
        <w:rPr>
          <w:b/>
        </w:rPr>
      </w:pPr>
      <w:r/>
      <w:bookmarkStart w:id="36" w:name="Водоснабжение_ПС"/>
      <w:r>
        <w:rPr>
          <w:b/>
        </w:rPr>
        <w:t xml:space="preserve">Основные требования по наружному противопожарному водоснабжению подстанций электросетевых предприятий</w:t>
      </w:r>
      <w:bookmarkEnd w:id="36"/>
      <w:r>
        <w:rPr>
          <w:b/>
        </w:rPr>
      </w:r>
      <w:r>
        <w:rPr>
          <w:b/>
        </w:rPr>
      </w:r>
    </w:p>
    <w:p>
      <w:pPr>
        <w:pStyle w:val="792"/>
        <w:ind w:left="0" w:firstLine="709"/>
        <w:jc w:val="both"/>
        <w:tabs>
          <w:tab w:val="left" w:pos="1134" w:leader="none"/>
          <w:tab w:val="left" w:pos="1418" w:leader="none"/>
          <w:tab w:val="left" w:pos="156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9"/>
        <w:ind w:left="0" w:firstLine="709"/>
      </w:pPr>
      <w:r>
        <w:t xml:space="preserve">На ПС, относящихся к </w:t>
      </w:r>
      <w:r>
        <w:rPr>
          <w:lang w:val="en-US"/>
        </w:rPr>
        <w:t xml:space="preserve">I</w:t>
      </w:r>
      <w:r>
        <w:t xml:space="preserve"> и </w:t>
      </w:r>
      <w:r>
        <w:rPr>
          <w:lang w:val="en-US"/>
        </w:rPr>
        <w:t xml:space="preserve">II</w:t>
      </w:r>
      <w:r>
        <w:t xml:space="preserve"> группе в соответствии с</w:t>
      </w:r>
      <w:r>
        <w:br w:type="textWrapping" w:clear="all"/>
      </w:r>
      <w:r>
        <w:t xml:space="preserve">таблицей</w:t>
      </w:r>
      <w:r>
        <w:t xml:space="preserve"> </w:t>
      </w:r>
      <w:r>
        <w:t xml:space="preserve">1 настоящ</w:t>
      </w:r>
      <w:r>
        <w:t xml:space="preserve">их</w:t>
      </w:r>
      <w:r>
        <w:t xml:space="preserve"> </w:t>
      </w:r>
      <w:r>
        <w:t xml:space="preserve">Руководящ</w:t>
      </w:r>
      <w:r>
        <w:t xml:space="preserve">их </w:t>
      </w:r>
      <w:r>
        <w:t xml:space="preserve">указаний</w:t>
      </w:r>
      <w:r>
        <w:t xml:space="preserve">, а также на ПС с синхронными компенсаторами для тушения пожара следует предусматривать противопожарный водопровод с питанием от существующей внешней сети или от самостоятельного источника водоснабжения.</w:t>
      </w:r>
      <w:r/>
    </w:p>
    <w:p>
      <w:pPr>
        <w:pStyle w:val="769"/>
        <w:ind w:left="0" w:firstLine="709"/>
      </w:pPr>
      <w:r>
        <w:t xml:space="preserve">На подстанциях II группы в соответствии с</w:t>
      </w:r>
      <w:r>
        <w:br w:type="textWrapping" w:clear="all"/>
      </w:r>
      <w:r>
        <w:t xml:space="preserve">таблицей</w:t>
      </w:r>
      <w:r>
        <w:t xml:space="preserve"> </w:t>
      </w:r>
      <w:r>
        <w:t xml:space="preserve">1 настоящ</w:t>
      </w:r>
      <w:r>
        <w:t xml:space="preserve">их</w:t>
      </w:r>
      <w:r>
        <w:t xml:space="preserve"> </w:t>
      </w:r>
      <w:r>
        <w:t xml:space="preserve">Руководящих</w:t>
      </w:r>
      <w:r>
        <w:t xml:space="preserve"> </w:t>
      </w:r>
      <w:r>
        <w:t xml:space="preserve">указани</w:t>
      </w:r>
      <w:r>
        <w:t xml:space="preserve">й</w:t>
      </w:r>
      <w:r>
        <w:t xml:space="preserve">,</w:t>
      </w:r>
      <w:r>
        <w:t xml:space="preserve"> должен предусматриваться наружный противопожарный водопровод низкого давления с двумя противопожарными резервуарами. При согласовании с городскими службами допускается для нужд наружного пожаротушения использовать существующие сети городского водопровода.</w:t>
      </w:r>
      <w:r/>
    </w:p>
    <w:p>
      <w:pPr>
        <w:pStyle w:val="769"/>
        <w:ind w:left="0" w:firstLine="709"/>
      </w:pPr>
      <w:r>
        <w:t xml:space="preserve">На ПС, относящихся к группе </w:t>
      </w:r>
      <w:r>
        <w:rPr>
          <w:lang w:val="en-US"/>
        </w:rPr>
        <w:t xml:space="preserve">III</w:t>
      </w:r>
      <w:r>
        <w:t xml:space="preserve"> в соответствии с таблицей 1 настоящ</w:t>
      </w:r>
      <w:r>
        <w:t xml:space="preserve">их</w:t>
      </w:r>
      <w:r>
        <w:t xml:space="preserve"> </w:t>
      </w:r>
      <w:r>
        <w:t xml:space="preserve">Руководящих</w:t>
      </w:r>
      <w:r>
        <w:t xml:space="preserve"> </w:t>
      </w:r>
      <w:r>
        <w:t xml:space="preserve">указаний</w:t>
      </w:r>
      <w:r>
        <w:t xml:space="preserve">, </w:t>
      </w:r>
      <w:r>
        <w:t xml:space="preserve">необходимость устройства противопожарного водоснабжения и его параметры определяются</w:t>
      </w:r>
      <w:r>
        <w:t xml:space="preserve"> в соответствии с </w:t>
      </w:r>
      <w:r>
        <w:t xml:space="preserve">требованиями </w:t>
      </w:r>
      <w:r>
        <w:t xml:space="preserve">действующих нормативных документов</w:t>
      </w:r>
      <w:r>
        <w:t xml:space="preserve">.</w:t>
      </w:r>
      <w:r/>
    </w:p>
    <w:p>
      <w:pPr>
        <w:pStyle w:val="769"/>
        <w:ind w:left="0" w:firstLine="709"/>
      </w:pPr>
      <w:r>
        <w:t xml:space="preserve">При отсутствии возможности устройства наружного противопожарного водопровода допускается его объединение с хозяйственно-питьевым или производственным только при соответствующ</w:t>
      </w:r>
      <w:r>
        <w:rPr>
          <w:lang w:val="ru-RU"/>
        </w:rPr>
        <w:t xml:space="preserve">е</w:t>
      </w:r>
      <w:r>
        <w:t xml:space="preserve">м обосновании.</w:t>
      </w:r>
      <w:r/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Сети противопожарного водопровода на ПС следует предусматривать из стальных труб. Допускается применение труб из полимерных материалов при соответствующем обосновании.</w:t>
      </w:r>
      <w:r/>
    </w:p>
    <w:p>
      <w:pPr>
        <w:pStyle w:val="769"/>
        <w:ind w:left="0" w:firstLine="709"/>
      </w:pPr>
      <w:r>
        <w:t xml:space="preserve">При проектировании наружного противопожарного водоснабжения от существующей внешней сети или от самостоятельного источника водоснабжения должны быть учтены следующие требования:</w:t>
      </w:r>
      <w:r/>
    </w:p>
    <w:p>
      <w:pPr>
        <w:pStyle w:val="792"/>
        <w:numPr>
          <w:ilvl w:val="0"/>
          <w:numId w:val="17"/>
        </w:numPr>
        <w:ind w:left="0" w:firstLine="709"/>
        <w:jc w:val="both"/>
        <w:tabs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произведен расчет расхода воды на наружное пожаротушение маслонаполненного оборудования ПС;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расход воды на наружное пожаротушение зданий на территории ОРУ ПС, разделенных противопожарными перегородками определен по общему объему зданий и наиболее высокой категории помещений по пожарной и взрывопожарной опасности;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расчетный расход воды на тушение пожара должен быть обеспечен при наибольшем расходе воды на нужды производственного и хозяйственно-питьевого водопотребления;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расход воды на тушение пожара</w:t>
      </w:r>
      <w:r>
        <w:rPr>
          <w:sz w:val="28"/>
          <w:szCs w:val="28"/>
        </w:rPr>
        <w:t xml:space="preserve"> при объединенном водопроводе для спринклерных или дренчерных установок, внутренних пожарных кранов и наружных гидрантов в течение 1 ч с момента начала пожаротушения принят как сумма наибольших расходов, определенных в соответствии с требованиями нормативн</w:t>
      </w:r>
      <w:r>
        <w:rPr>
          <w:sz w:val="28"/>
          <w:szCs w:val="28"/>
        </w:rPr>
        <w:t xml:space="preserve">ых </w:t>
      </w:r>
      <w:r>
        <w:rPr>
          <w:sz w:val="28"/>
          <w:szCs w:val="28"/>
        </w:rPr>
        <w:t xml:space="preserve">технических документов по внутреннему противопожарному </w:t>
      </w:r>
      <w:r>
        <w:rPr>
          <w:sz w:val="28"/>
          <w:szCs w:val="28"/>
        </w:rPr>
        <w:t xml:space="preserve">водо</w:t>
      </w:r>
      <w:r>
        <w:rPr>
          <w:sz w:val="28"/>
          <w:szCs w:val="28"/>
        </w:rPr>
        <w:t xml:space="preserve">снабжению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расход воды на наружное пожаротушение пенными установками, установками с лафетными стволами или путем подачи распыленной воды определен с учетом дополнительного расхода воды из гидрантов в размере 25%;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 пожаротушение зданий, оборудованных внутренними пожарными кранами, учтен дополнительный расход воды с учетом расхода на внутреннее пожаротушение зданий;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системы противопожарного водоснабжения (водоводы, насосные станции, резервуары противопожарного запаса воды) отнесены по степени обеспеченности подачи воды к I категории водоснабжения.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При проектировании наружного противопожарного водоснабжения из противопожарных резервуаров должны быть учтены следующие требования:</w:t>
      </w:r>
      <w:r/>
    </w:p>
    <w:p>
      <w:pPr>
        <w:pStyle w:val="792"/>
        <w:numPr>
          <w:ilvl w:val="0"/>
          <w:numId w:val="18"/>
        </w:numPr>
        <w:ind w:left="0" w:firstLine="709"/>
        <w:jc w:val="both"/>
        <w:tabs>
          <w:tab w:val="left" w:pos="709" w:leader="none"/>
          <w:tab w:val="left" w:pos="993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объем пожарных резервуаров и искусственн</w:t>
      </w:r>
      <w:r>
        <w:rPr>
          <w:sz w:val="28"/>
          <w:szCs w:val="28"/>
        </w:rPr>
        <w:t xml:space="preserve">ых водоемов определяется </w:t>
      </w:r>
      <w:r>
        <w:rPr>
          <w:sz w:val="28"/>
          <w:szCs w:val="28"/>
        </w:rPr>
        <w:t xml:space="preserve">исходя из расчетных расходов воды и продолжительности тушения пожаров зданий</w:t>
      </w:r>
      <w:r>
        <w:rPr>
          <w:sz w:val="28"/>
          <w:szCs w:val="28"/>
        </w:rPr>
        <w:t xml:space="preserve"> и сооружений, расположенных на территории ПС;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7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контроль наличия противопожарного запаса воды в резервуарах должен предусматриваться со щитов управления ПС;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7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пожарный объем воды в резервуарах должен определяться из условия обеспечения п</w:t>
      </w:r>
      <w:r>
        <w:rPr>
          <w:sz w:val="28"/>
          <w:szCs w:val="28"/>
        </w:rPr>
        <w:t xml:space="preserve">ожаротушения из наружных гидрантов и внутренних пожарных кранов, специальных средств пожаротушения (спринклеров, дренчеров и др., не имеющих собственных резервуаров) и максимальных хозяйственно-питьевых и производственных нужд на весь период пожаротушения;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резервуаров в одном водопроводном узле должно быть не менее двух;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количество пожарных резервуаров или искусственных водоемов должно быть не менее двух, при этом в каждом из них должно храниться 50% объема воды на пожаротушение;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выключении одного резервуара в остальных должно храниться не менее 50% пожарного и аварийного объемов воды;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оборудование резервуаров должно обеспечивать сохранность пожарного объема воды, а также возможность независимого включения и опорожнения каждого резервуара;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емкости резервуаров и их оборудование должны быть защищены от замерзания воды;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вне резервуара на отводящем (подводяще-отводящем) трубопроводе следует предусматривать устройство для отбора воды автоцистернами и пожарными машинами;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 пожарным резервуарам, водоемам и приемным колодцам должен быть обеспечен свободный подъезд пожарных машин;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numPr>
          <w:ilvl w:val="0"/>
          <w:numId w:val="6"/>
        </w:numPr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 мест расположения пожарных резервуаров и водоемов должны быть предусмотрены соответствующие указатели с указанием их объема.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При проектировании насосных станций для наружного пожаротушения маслонаполненного оборудования ПС, зданий и сооружений ОРУ ПС должны быть учтены следующие требования:</w:t>
      </w:r>
      <w:r/>
    </w:p>
    <w:p>
      <w:pPr>
        <w:pStyle w:val="792"/>
        <w:numPr>
          <w:ilvl w:val="0"/>
          <w:numId w:val="22"/>
        </w:numPr>
        <w:ind w:left="0" w:firstLine="709"/>
        <w:jc w:val="both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насосные станции, подающие воду непосредственно в сеть </w:t>
      </w:r>
      <w:r>
        <w:rPr>
          <w:sz w:val="28"/>
          <w:szCs w:val="28"/>
        </w:rPr>
        <w:t xml:space="preserve">противопожарного и объединенного водопровода </w:t>
      </w:r>
      <w:r>
        <w:rPr>
          <w:color w:val="000000"/>
          <w:sz w:val="28"/>
          <w:szCs w:val="28"/>
        </w:rPr>
        <w:t xml:space="preserve">должны быть </w:t>
      </w:r>
      <w:r>
        <w:rPr>
          <w:color w:val="000000"/>
          <w:sz w:val="28"/>
          <w:szCs w:val="28"/>
        </w:rPr>
        <w:t xml:space="preserve">отнесены к I категории</w:t>
      </w:r>
      <w:r>
        <w:rPr>
          <w:color w:val="000000"/>
          <w:sz w:val="28"/>
          <w:szCs w:val="28"/>
        </w:rPr>
        <w:t xml:space="preserve"> надежности электроснабжения;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насосные станции противопожарного водоснабжения при размещении их в производственных зданиях, отделены противопожарными преградами с пределами огнестойкости REI 120 и имеют отдельный выход непосредственно наружу;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выбор типа</w:t>
      </w:r>
      <w:r>
        <w:rPr>
          <w:sz w:val="28"/>
          <w:szCs w:val="28"/>
        </w:rPr>
        <w:t xml:space="preserve"> насосов и количества рабочих агрегатов произведен на основании расчетов совместной работы насосов, водоводов, сетей, регулирующих емкостей и условий пожаротушения;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насосных станциях объединенных противопожарных водопроводов высокого давления или при установке только пожарных насосов следует предусматривать один резервный пожарный агрегат, независимо от количества рабочих агрегатов.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дистанционное включение насосов предусм</w:t>
      </w:r>
      <w:r>
        <w:rPr>
          <w:sz w:val="28"/>
          <w:szCs w:val="28"/>
        </w:rPr>
        <w:t xml:space="preserve">отрено со щита управления ПС, где имеется дистанционное управление установками пожаротушения, с мест размещения запорной арматуры установок пожаротушения, от пожарных кранов и лафетных стволов, не обеспеченных постоянным напором, с мест размещения насосов;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автоматическое включение пожарных насосов осуществляется по сигналу о падении давления в сети противопожарного водопровода и</w:t>
      </w:r>
      <w:r>
        <w:rPr>
          <w:sz w:val="28"/>
          <w:szCs w:val="28"/>
        </w:rPr>
        <w:t xml:space="preserve"> (или)</w:t>
      </w:r>
      <w:r>
        <w:rPr>
          <w:sz w:val="28"/>
          <w:szCs w:val="28"/>
        </w:rPr>
        <w:t xml:space="preserve"> по сигналу включения автоматических установок пожаротушения;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 щите управления ПС предусмотрена </w:t>
      </w:r>
      <w:r>
        <w:rPr>
          <w:sz w:val="28"/>
          <w:szCs w:val="28"/>
        </w:rPr>
        <w:t xml:space="preserve">сигнализация </w:t>
      </w:r>
      <w:r>
        <w:rPr>
          <w:sz w:val="28"/>
          <w:szCs w:val="28"/>
        </w:rPr>
        <w:t xml:space="preserve">включенного/отключенного состояния</w:t>
      </w:r>
      <w:r>
        <w:rPr>
          <w:sz w:val="28"/>
          <w:szCs w:val="28"/>
        </w:rPr>
        <w:t xml:space="preserve"> пожарных насосов</w:t>
      </w:r>
      <w:r>
        <w:rPr>
          <w:sz w:val="28"/>
          <w:szCs w:val="28"/>
        </w:rPr>
        <w:t xml:space="preserve">, включая наличие электропитания;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управление пожарными насосами с щита управления ПС выполнено независимым по отношению к другим пунктам управления;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насосных станциях для группы насосов одного назначения, подающих воду в одну и ту же сеть или водоводы, количество </w:t>
      </w:r>
      <w:r>
        <w:rPr>
          <w:sz w:val="28"/>
          <w:szCs w:val="28"/>
        </w:rPr>
        <w:t xml:space="preserve">насосов дозаторов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 составлять</w:t>
      </w:r>
      <w:r>
        <w:rPr>
          <w:sz w:val="28"/>
          <w:szCs w:val="28"/>
        </w:rPr>
        <w:t xml:space="preserve"> не менее двух единиц;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количество всасывающих линий к насосной станции независимо от числа и групп установленных насосов, включая пожарные, составляет не менее двух;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2"/>
        </w:numPr>
        <w:contextualSpacing/>
        <w:ind w:left="0" w:firstLine="709"/>
        <w:jc w:val="both"/>
        <w:widowControl w:val="off"/>
        <w:tabs>
          <w:tab w:val="left" w:pos="0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количество напорных линий от насосной станции составляет не менее двух;</w:t>
      </w:r>
      <w:r>
        <w:rPr>
          <w:sz w:val="28"/>
          <w:szCs w:val="28"/>
        </w:rPr>
      </w:r>
    </w:p>
    <w:p>
      <w:pPr>
        <w:pStyle w:val="792"/>
        <w:numPr>
          <w:ilvl w:val="0"/>
          <w:numId w:val="22"/>
        </w:numPr>
        <w:ind w:left="0" w:firstLine="709"/>
        <w:jc w:val="both"/>
        <w:tabs>
          <w:tab w:val="left" w:pos="0" w:leader="none"/>
          <w:tab w:val="left" w:pos="993" w:leader="none"/>
          <w:tab w:val="left" w:pos="1418" w:leader="none"/>
          <w:tab w:val="left" w:pos="156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 выключении одной всасывающей (напорной) линии остальные рассчитаны на пропуск полного расчетного расхода воды на тушение пожара</w:t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851" w:leader="none"/>
          <w:tab w:val="left" w:pos="993" w:leader="none"/>
          <w:tab w:val="left" w:pos="1418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7"/>
        <w:spacing w:after="0"/>
      </w:pPr>
      <w:r/>
      <w:bookmarkStart w:id="37" w:name="Автоматика"/>
      <w:r/>
      <w:bookmarkStart w:id="38" w:name="_Toc99010094"/>
      <w:r/>
      <w:bookmarkStart w:id="39" w:name="_Toc125619806"/>
      <w:r>
        <w:t xml:space="preserve">Автоматические установки пожаротушения, системы пожарной сигнализации и оповещения</w:t>
      </w:r>
      <w:bookmarkEnd w:id="37"/>
      <w:r/>
      <w:bookmarkEnd w:id="38"/>
      <w:r/>
      <w:bookmarkEnd w:id="39"/>
      <w:r/>
      <w:r/>
    </w:p>
    <w:p>
      <w:pPr>
        <w:pStyle w:val="792"/>
        <w:ind w:left="0" w:firstLine="709"/>
        <w:jc w:val="both"/>
        <w:tabs>
          <w:tab w:val="left" w:pos="993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8"/>
        <w:numPr>
          <w:ilvl w:val="1"/>
          <w:numId w:val="39"/>
        </w:numPr>
        <w:ind w:left="0" w:firstLine="709"/>
        <w:spacing w:line="240" w:lineRule="auto"/>
        <w:rPr>
          <w:b/>
        </w:rPr>
      </w:pPr>
      <w:r>
        <w:rPr>
          <w:b/>
        </w:rPr>
        <w:t xml:space="preserve">Основные требования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color w:val="000000"/>
        </w:rPr>
      </w:pPr>
      <w:r>
        <w:t xml:space="preserve"> </w:t>
      </w:r>
      <w:r>
        <w:t xml:space="preserve">Необходимость проектирования </w:t>
      </w:r>
      <w:r>
        <w:t xml:space="preserve">АУП</w:t>
      </w:r>
      <w:r>
        <w:t xml:space="preserve">, </w:t>
      </w:r>
      <w:r>
        <w:t xml:space="preserve">СПС</w:t>
      </w:r>
      <w:r>
        <w:t xml:space="preserve"> и СОУЭ для помещений, зданий, сооружений и оборудования объектов </w:t>
      </w:r>
      <w:r>
        <w:t xml:space="preserve">Общества </w:t>
      </w:r>
      <w:r>
        <w:t xml:space="preserve"> определяется в </w:t>
      </w:r>
      <w:r>
        <w:t xml:space="preserve">соответствии с</w:t>
      </w:r>
      <w:r>
        <w:t xml:space="preserve"> требованиями настоящ</w:t>
      </w:r>
      <w:r>
        <w:t xml:space="preserve">их</w:t>
      </w:r>
      <w:r>
        <w:t xml:space="preserve"> </w:t>
      </w:r>
      <w:r>
        <w:t xml:space="preserve">Руководящих</w:t>
      </w:r>
      <w:r>
        <w:t xml:space="preserve"> </w:t>
      </w:r>
      <w:r>
        <w:t xml:space="preserve">указаний</w:t>
      </w:r>
      <w:r>
        <w:t xml:space="preserve">, сводов правил, содержащих требования пожарной безопасности, </w:t>
      </w:r>
      <w:r>
        <w:rPr>
          <w:color w:val="000000"/>
        </w:rPr>
        <w:t xml:space="preserve">нормативных документов по пожарной безопасности и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"kodeks://link/d?nd=1200003114" \o "\"Правила устройства электроустановок (ПУЭ). Оглавление\" " </w:instrText>
      </w:r>
      <w:r>
        <w:rPr>
          <w:color w:val="000000"/>
        </w:rPr>
        <w:fldChar w:fldCharType="separate"/>
      </w:r>
      <w:r>
        <w:rPr>
          <w:rStyle w:val="861"/>
          <w:bCs/>
          <w:color w:val="000000"/>
        </w:rPr>
        <w:t xml:space="preserve">ПУЭ</w:t>
      </w:r>
      <w:r>
        <w:rPr>
          <w:rStyle w:val="861"/>
          <w:bCs/>
          <w:color w:val="000000"/>
        </w:rPr>
        <w:fldChar w:fldCharType="end"/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769"/>
        <w:ind w:left="0" w:firstLine="709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 xml:space="preserve">АУП</w:t>
      </w:r>
      <w:r>
        <w:rPr>
          <w:color w:val="000000"/>
        </w:rPr>
        <w:t xml:space="preserve"> оснащаются силовые трансформаторы, автотрансформаторы (реакторы), а также кабельные сооружения на ПС в соответствии </w:t>
      </w:r>
      <w:r>
        <w:rPr>
          <w:color w:val="000000"/>
        </w:rPr>
        <w:t xml:space="preserve">с </w:t>
      </w:r>
      <w:r>
        <w:rPr>
          <w:color w:val="000000"/>
          <w:lang w:val="ru-RU"/>
        </w:rPr>
        <w:t xml:space="preserve">настоящими </w:t>
      </w:r>
      <w:r>
        <w:rPr>
          <w:color w:val="000000"/>
        </w:rPr>
        <w:t xml:space="preserve">Руководящими</w:t>
      </w:r>
      <w:r>
        <w:rPr>
          <w:color w:val="000000"/>
        </w:rPr>
        <w:t xml:space="preserve"> </w:t>
      </w:r>
      <w:r>
        <w:rPr>
          <w:color w:val="000000"/>
        </w:rPr>
        <w:t xml:space="preserve">указани</w:t>
      </w:r>
      <w:r>
        <w:rPr>
          <w:color w:val="000000"/>
        </w:rPr>
        <w:t xml:space="preserve">ями</w:t>
      </w:r>
      <w:r>
        <w:rPr>
          <w:color w:val="000000"/>
        </w:rPr>
        <w:t xml:space="preserve"> и </w:t>
      </w:r>
      <w:r>
        <w:rPr>
          <w:color w:val="000000"/>
        </w:rPr>
        <w:t xml:space="preserve">действующими сводами правил в Российской Федерации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769"/>
        <w:ind w:left="0" w:firstLine="709"/>
      </w:pPr>
      <w:r>
        <w:t xml:space="preserve"> </w:t>
      </w:r>
      <w:r>
        <w:t xml:space="preserve">Применяемое оборудование систем </w:t>
      </w:r>
      <w:r>
        <w:t xml:space="preserve">АУП</w:t>
      </w:r>
      <w:r>
        <w:t xml:space="preserve">, </w:t>
      </w:r>
      <w:r>
        <w:t xml:space="preserve">СПС</w:t>
      </w:r>
      <w:r>
        <w:t xml:space="preserve"> и СОУЭ должн</w:t>
      </w:r>
      <w:r>
        <w:t xml:space="preserve">о иметь </w:t>
      </w:r>
      <w:r>
        <w:rPr>
          <w:lang w:val="ru-RU"/>
        </w:rPr>
        <w:t xml:space="preserve">соответствующие </w:t>
      </w:r>
      <w:r>
        <w:t xml:space="preserve">сертификаты</w:t>
      </w:r>
      <w:r>
        <w:rPr>
          <w:lang w:val="ru-RU"/>
        </w:rPr>
        <w:t xml:space="preserve"> </w:t>
      </w:r>
      <w:r>
        <w:rPr>
          <w:lang w:val="ru-RU"/>
        </w:rPr>
        <w:t xml:space="preserve">в части пожарной безопасности</w:t>
      </w:r>
      <w:r>
        <w:t xml:space="preserve">.</w:t>
      </w:r>
      <w:r/>
    </w:p>
    <w:p>
      <w:pPr>
        <w:pStyle w:val="769"/>
        <w:ind w:left="0" w:firstLine="709"/>
        <w:rPr>
          <w:bCs/>
        </w:rPr>
      </w:pPr>
      <w:r>
        <w:t xml:space="preserve"> </w:t>
      </w:r>
      <w:r>
        <w:t xml:space="preserve">Тип установок пожаротушения, способ тушения и вид огнетушащего вещества для защиты объектов </w:t>
      </w:r>
      <w:r>
        <w:t xml:space="preserve">О</w:t>
      </w:r>
      <w:r>
        <w:rPr>
          <w:lang w:val="ru-RU"/>
        </w:rPr>
        <w:t xml:space="preserve">бщества</w:t>
      </w:r>
      <w:r>
        <w:t xml:space="preserve"> определяются </w:t>
      </w:r>
      <w:r>
        <w:rPr>
          <w:lang w:val="ru-RU"/>
        </w:rPr>
        <w:t xml:space="preserve">проектной организацией</w:t>
      </w:r>
      <w:r>
        <w:t xml:space="preserve"> в зависимости от технологических, конструктивных и объемно-планировочных особенностей объекта</w:t>
      </w:r>
      <w:r>
        <w:t xml:space="preserve">. При этом установка пожаротушения должна обеспечивать:</w:t>
      </w:r>
      <w:r>
        <w:rPr>
          <w:bCs/>
        </w:rPr>
      </w:r>
      <w:r>
        <w:rPr>
          <w:bCs/>
        </w:rPr>
      </w:r>
    </w:p>
    <w:p>
      <w:pPr>
        <w:pStyle w:val="792"/>
        <w:numPr>
          <w:ilvl w:val="0"/>
          <w:numId w:val="19"/>
        </w:numPr>
        <w:ind w:left="0" w:firstLine="709"/>
        <w:jc w:val="both"/>
        <w:tabs>
          <w:tab w:val="left" w:pos="709" w:leader="none"/>
          <w:tab w:val="left" w:pos="993" w:leader="none"/>
          <w:tab w:val="left" w:pos="1560" w:leader="none"/>
          <w:tab w:val="left" w:pos="9072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автоматическое обнаружение пожара;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выполнение функции пожарной сигнализации;</w:t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sz w:val="28"/>
          <w:szCs w:val="28"/>
        </w:rPr>
        <w:t xml:space="preserve">подачу управляющих сигналов на технические средства оповещения людей о пожаре и управления эвакуацией людей;</w:t>
      </w:r>
      <w:r>
        <w:rPr>
          <w:color w:val="000001"/>
          <w:sz w:val="28"/>
          <w:szCs w:val="28"/>
        </w:rPr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sz w:val="28"/>
          <w:szCs w:val="28"/>
        </w:rPr>
        <w:t xml:space="preserve">подачу управляющих сигналов на технические средства управления инженерным и технологическим оборудованием;</w:t>
      </w:r>
      <w:r>
        <w:rPr>
          <w:color w:val="000001"/>
          <w:sz w:val="28"/>
          <w:szCs w:val="28"/>
        </w:rPr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реализацию эффективных технологий пожаротушения, оптимальную инерционность, минимально вредное воздействие на защищаемое оборудование;</w:t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срабатывание в течение времени, не превышающего длительности начальной стадии развития пожара (критического времени свободного развития пожара);</w:t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sz w:val="28"/>
          <w:szCs w:val="28"/>
        </w:rPr>
        <w:t xml:space="preserve">задержку выпуска газового или порошкового о</w:t>
      </w:r>
      <w:r>
        <w:rPr>
          <w:sz w:val="28"/>
          <w:szCs w:val="28"/>
        </w:rPr>
        <w:t xml:space="preserve">гнетушащего вещества в защищаемое помещение при автоматическом и дистанционном пуске на время, необходимое для эвакуации из помещения людей, отключение вентиляции (кондиционирования и т.п.), закрытие заслонок (противопожарных клапанов и т.д.), но не менее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0 с от момента включения в помещении устройств оповещения об эвакуации;</w:t>
      </w:r>
      <w:r>
        <w:rPr>
          <w:color w:val="000001"/>
          <w:sz w:val="28"/>
          <w:szCs w:val="28"/>
        </w:rPr>
      </w:r>
      <w:r>
        <w:rPr>
          <w:color w:val="000001"/>
          <w:sz w:val="28"/>
          <w:szCs w:val="28"/>
        </w:rPr>
      </w:r>
    </w:p>
    <w:p>
      <w:pPr>
        <w:pStyle w:val="766"/>
        <w:numPr>
          <w:ilvl w:val="0"/>
          <w:numId w:val="19"/>
        </w:numPr>
        <w:ind w:left="0" w:firstLine="709"/>
        <w:jc w:val="both"/>
        <w:widowControl w:val="off"/>
        <w:tabs>
          <w:tab w:val="left" w:pos="993" w:leader="none"/>
          <w:tab w:val="left" w:pos="1560" w:leader="none"/>
        </w:tabs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необходимую интенсивность подачи огнетушащего вещества;</w:t>
      </w:r>
      <w:r>
        <w:rPr>
          <w:color w:val="000001"/>
          <w:sz w:val="28"/>
          <w:szCs w:val="28"/>
        </w:rPr>
      </w:r>
    </w:p>
    <w:p>
      <w:pPr>
        <w:pStyle w:val="792"/>
        <w:numPr>
          <w:ilvl w:val="0"/>
          <w:numId w:val="19"/>
        </w:numPr>
        <w:ind w:left="0" w:firstLine="709"/>
        <w:jc w:val="both"/>
        <w:tabs>
          <w:tab w:val="left" w:pos="709" w:leader="none"/>
          <w:tab w:val="left" w:pos="993" w:leader="none"/>
          <w:tab w:val="left" w:pos="1560" w:leader="none"/>
          <w:tab w:val="left" w:pos="9072" w:leader="none"/>
        </w:tabs>
        <w:rPr>
          <w:bCs/>
          <w:sz w:val="28"/>
          <w:szCs w:val="28"/>
        </w:rPr>
      </w:pPr>
      <w:r>
        <w:rPr>
          <w:color w:val="000001"/>
          <w:sz w:val="28"/>
          <w:szCs w:val="28"/>
        </w:rPr>
        <w:t xml:space="preserve">ликвидацию пожара или его локализацию в течение времени, необходимого для введения в действие оперативных сил и средств пожаротушения.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t xml:space="preserve"> </w:t>
      </w:r>
      <w:r>
        <w:t xml:space="preserve">АУП</w:t>
      </w:r>
      <w:r>
        <w:t xml:space="preserve"> должны быть обеспечены:</w:t>
      </w:r>
      <w:r>
        <w:rPr>
          <w:bCs/>
        </w:rPr>
      </w:r>
      <w:r>
        <w:rPr>
          <w:bCs/>
        </w:rPr>
      </w:r>
    </w:p>
    <w:p>
      <w:pPr>
        <w:pStyle w:val="76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расчетным количеством огнетушащего вещества, достаточным для ликвидации пожара в защищаемом помещении, здании или сооружении;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устройством для контроля работоспособности установки;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устройством для оповещения людей о пожаре, а также дежурного персонала и (или) подразделения пожарной охраны о месте его возникновения;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устройством для задержки подачи газовых и порошковых огнетушащих веществ на время, необходимое для эвакуации людей из помещения пожара;</w:t>
      </w:r>
      <w:r>
        <w:rPr>
          <w:sz w:val="28"/>
          <w:szCs w:val="28"/>
        </w:rPr>
      </w:r>
    </w:p>
    <w:p>
      <w:pPr>
        <w:pStyle w:val="792"/>
        <w:numPr>
          <w:ilvl w:val="0"/>
          <w:numId w:val="20"/>
        </w:numPr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устройством для ручного пуска установки пожаротушения, за исключением установок пожаротушения, оборудованных оросителями (распылителями), оснащенными замками, срабатывающими от воздействия опасных факторов пожара.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  <w:framePr w:hSpace="180" w:wrap="around" w:vAnchor="text" w:hAnchor="margin" w:xAlign="center" w:y="35"/>
      </w:pPr>
      <w:r>
        <w:rPr>
          <w:sz w:val="28"/>
          <w:szCs w:val="28"/>
        </w:rPr>
        <w:t xml:space="preserve">СПС должны быть обеспечены: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  <w:framePr w:hSpace="180" w:wrap="around" w:vAnchor="text" w:hAnchor="margin" w:xAlign="center" w:y="35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специальным оборудованием, необходимым при эксплуатации, для регламентных работ, предусмотренных производителем оборудования.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  <w:framePr w:hSpace="180" w:wrap="around" w:vAnchor="text" w:hAnchor="margin" w:xAlign="center" w:y="35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оборудованием для проверки работоспособности по каждой проектируемой СПС.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  <w:framePr w:hSpace="180" w:wrap="around" w:vAnchor="text" w:hAnchor="margin" w:xAlign="center" w:y="35"/>
      </w:pPr>
      <w:r>
        <w:rPr>
          <w:sz w:val="28"/>
          <w:szCs w:val="28"/>
        </w:rPr>
        <w:t xml:space="preserve">СОУЭ должны быть обеспечены: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  <w:framePr w:hSpace="180" w:wrap="around" w:vAnchor="text" w:hAnchor="margin" w:xAlign="center" w:y="35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специальным оборудованием, необходимым при эксплуатации, для регламентных работ, предусмотренных производителем оборудования;</w:t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оборудование для проверки работоспособности по каждой проектируемой СОУЭ.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 проектной документации должны быть предусмотрены меры по удалению огнетушащего вещества из помещения, здания и сооружения после его подачи.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 xml:space="preserve">СПС</w:t>
      </w:r>
      <w:r>
        <w:rPr>
          <w:rFonts w:eastAsia="Calibri"/>
          <w:lang w:eastAsia="en-US"/>
        </w:rPr>
        <w:t xml:space="preserve"> должны обеспечивать автоматическое информирование дежурного персонала о возникновении неисправности линий связи между отдельными техническими средствами, входящими в состав установок.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t xml:space="preserve"> </w:t>
      </w:r>
      <w:r>
        <w:t xml:space="preserve">АУП и СПС</w:t>
      </w:r>
      <w:r>
        <w:rPr>
          <w:rFonts w:eastAsia="Calibri"/>
          <w:lang w:eastAsia="en-US"/>
        </w:rPr>
        <w:t xml:space="preserve"> должна обеспечивать подачу светового и звукового сигналов о возникновении пожара на приемно-контрольное устройство в помещении дежурного персонала или на специальные выносные устройства оповещения</w:t>
      </w:r>
      <w:r>
        <w:t xml:space="preserve">, а также выдачу сигнала на разблокировку </w:t>
      </w:r>
      <w:r>
        <w:t xml:space="preserve">турникетов и </w:t>
      </w:r>
      <w:r>
        <w:t xml:space="preserve">дверей эвакуационных выходов, оборудованных системой контроля и управления доступом</w:t>
      </w:r>
      <w:r>
        <w:rPr>
          <w:rFonts w:eastAsia="Calibri"/>
          <w:lang w:eastAsia="en-US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Для оповещения дежурного персонала о пожаре на ПС может использоваться поисковая громкоговорящая связь.</w:t>
      </w:r>
      <w:r>
        <w:rPr>
          <w:rFonts w:eastAsia="Calibri"/>
          <w:sz w:val="28"/>
          <w:lang w:eastAsia="en-US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На объектах </w:t>
      </w:r>
      <w:r>
        <w:rPr>
          <w:rFonts w:eastAsia="Calibri"/>
          <w:lang w:eastAsia="en-US"/>
        </w:rPr>
        <w:t xml:space="preserve">О</w:t>
      </w:r>
      <w:r>
        <w:rPr>
          <w:rFonts w:eastAsia="Calibri"/>
          <w:lang w:val="ru-RU" w:eastAsia="en-US"/>
        </w:rPr>
        <w:t xml:space="preserve">бщества</w:t>
      </w:r>
      <w:r>
        <w:rPr>
          <w:rFonts w:eastAsia="Calibri"/>
          <w:lang w:eastAsia="en-US"/>
        </w:rPr>
        <w:t xml:space="preserve"> должны применяться цифровые </w:t>
      </w:r>
      <w:r>
        <w:rPr>
          <w:rFonts w:eastAsia="Calibri"/>
          <w:lang w:eastAsia="en-US"/>
        </w:rPr>
        <w:t xml:space="preserve">СПС</w:t>
      </w:r>
      <w:r>
        <w:rPr>
          <w:rFonts w:eastAsia="Calibri"/>
          <w:lang w:eastAsia="en-US"/>
        </w:rPr>
        <w:t xml:space="preserve"> с распределенной архитектурой и передачей сигналов состояния элементов системы от приемно-контрольных приборов к общему пульту контроля и управления по проводному цифровому интерфейсу связи</w:t>
      </w:r>
      <w:r>
        <w:t xml:space="preserve"> с возможным применением волоконно-оптических кабелей (при высоком уровне электромагнитных полей в местах прохождения цифрового интерфейса связи).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</w:pPr>
      <w:r>
        <w:t xml:space="preserve">Рабочая документация СПС должна включать в себя следующие документы:</w:t>
      </w:r>
      <w:r/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пояснительную записку;</w:t>
      </w:r>
      <w:r>
        <w:rPr>
          <w:bCs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алгоритм работы СПС (допускается приводить в составе служебной записки);</w:t>
      </w:r>
      <w:r>
        <w:rPr>
          <w:bCs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спецификацию оборудования;</w:t>
      </w:r>
      <w:r>
        <w:rPr>
          <w:bCs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иные документы, предусмотренные по согласованию с заказчиком.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t xml:space="preserve">Алгоритм работы СПС должен включать в себя принятые технические решения по логике формирования, отображения и выдачи сигналов, определяемых событиями (комбинацией и</w:t>
      </w:r>
      <w:r>
        <w:t xml:space="preserve">/</w:t>
      </w:r>
      <w:r>
        <w:t xml:space="preserve">или последовательностью) по контролируемым входным и выходным сигналам, по которым должны быть определены получатели с точностью до зоны противопожарной защиты (зоны оповещения о пожаре, зоны пожаротушения, зоны противодымной вентиляции) и</w:t>
      </w:r>
      <w:r>
        <w:t xml:space="preserve">/</w:t>
      </w:r>
      <w:r>
        <w:t xml:space="preserve">или конкретного технического средства, входящего в зону противопожарной защиты и отвечающего за прием сигнала управления. Алгоритм может быть изложен в графическом, табличном текстовом виде или комбинировано.</w:t>
      </w:r>
      <w:r/>
    </w:p>
    <w:p>
      <w:pPr>
        <w:pStyle w:val="769"/>
        <w:ind w:left="0" w:firstLine="709"/>
      </w:pPr>
      <w:r>
        <w:t xml:space="preserve">Проектные решения должны предусматривать меры по обеспечению </w:t>
      </w:r>
      <w:r>
        <w:rPr>
          <w:lang w:val="ru-RU"/>
        </w:rPr>
        <w:t xml:space="preserve">в процессе эксплуатации </w:t>
      </w:r>
      <w:r>
        <w:t xml:space="preserve">доступа к техническим средствам, установленным за</w:t>
      </w:r>
      <w:r>
        <w:t xml:space="preserve">/</w:t>
      </w:r>
      <w:r>
        <w:t xml:space="preserve">под фальшпотолком, в вентканалах, на больших высотах и т.п.</w:t>
      </w:r>
      <w:r/>
    </w:p>
    <w:p>
      <w:pPr>
        <w:pStyle w:val="769"/>
        <w:ind w:left="0" w:firstLine="709"/>
      </w:pPr>
      <w:r>
        <w:t xml:space="preserve">Объект должен быть разделен на ЗКПС и зоны защиты (зоны пожаротушения, оповещения и т.п.)</w:t>
      </w:r>
      <w:r/>
    </w:p>
    <w:p>
      <w:pPr>
        <w:pStyle w:val="769"/>
        <w:ind w:left="0" w:firstLine="709"/>
      </w:pPr>
      <w:r>
        <w:t xml:space="preserve">Система пожарной автоматики должна быть спроектирована таким образом, чтобы в результате единичной неисправности линий связи был возможен отказ только одной из следующих функций:</w:t>
      </w:r>
      <w:r/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автоматическое формирование сигнала управления не более чем для одной зоны защиты (пожаротушение, оповещения и т.п.);</w:t>
      </w:r>
      <w:r>
        <w:rPr>
          <w:bCs/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ручное формирование сигнала управления не более чем для одной зоны защиты;</w:t>
      </w:r>
      <w:r>
        <w:rPr>
          <w:bCs/>
          <w:sz w:val="28"/>
          <w:szCs w:val="28"/>
        </w:rPr>
      </w:r>
    </w:p>
    <w:p>
      <w:pPr>
        <w:pStyle w:val="766"/>
        <w:ind w:left="0" w:firstLine="709"/>
        <w:jc w:val="both"/>
        <w:tabs>
          <w:tab w:val="left" w:pos="709" w:leader="none"/>
          <w:tab w:val="left" w:pos="993" w:leader="none"/>
          <w:tab w:val="left" w:pos="1418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Требование не распространяется на линии связи</w:t>
      </w:r>
      <w:r>
        <w:rPr>
          <w:bCs/>
          <w:sz w:val="28"/>
          <w:szCs w:val="28"/>
        </w:rPr>
        <w:t xml:space="preserve"> с исполнительными устройствами</w:t>
      </w:r>
      <w:r>
        <w:rPr>
          <w:bCs/>
          <w:sz w:val="28"/>
          <w:szCs w:val="28"/>
        </w:rPr>
        <w:t xml:space="preserve">, если единичная неисправность данных линий не нарушит работоспособность других технических средств СПА.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СОУЭ должна проектироваться в целях обеспечения безопасной эвакуации людей при пожаре.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Фотолюминесцентные эвакуационные системы должны проектироваться в случаях, когда здания (сооружения) должны оснащаться СОУЭ 3 типа и выше.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Информация, передаваемая СОУЭ, должна соответствовать информации, содержащейся в разработанных и размещенных на каждом этаже зданий планах эвакуации людей.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СОУЭ должна включаться автоматически от командного сигнала, формируемого автоматической установкой пожарной сигнализации или пожаротушения.</w:t>
      </w:r>
      <w:r>
        <w:rPr>
          <w:bCs/>
        </w:rPr>
      </w:r>
      <w:r>
        <w:rPr>
          <w:bCs/>
        </w:rPr>
      </w:r>
    </w:p>
    <w:p>
      <w:pPr>
        <w:pStyle w:val="792"/>
        <w:ind w:left="0" w:firstLine="709"/>
        <w:jc w:val="both"/>
        <w:tabs>
          <w:tab w:val="left" w:pos="0" w:leader="none"/>
          <w:tab w:val="left" w:pos="993" w:leader="none"/>
          <w:tab w:val="left" w:pos="1276" w:leader="none"/>
        </w:tabs>
        <w:rPr>
          <w:bCs/>
          <w:sz w:val="28"/>
          <w:szCs w:val="28"/>
        </w:rPr>
      </w:pPr>
      <w:r>
        <w:rPr>
          <w:rFonts w:eastAsia="Calibri"/>
          <w:sz w:val="28"/>
          <w:lang w:eastAsia="en-US"/>
        </w:rPr>
        <w:t xml:space="preserve">Дистанционное, ручное и местное включение СОУЭ допускается использовать, если в соответствии с нормативными документами по пожарной безопасности для данного вида зданий не требуется оснащение </w:t>
      </w:r>
      <w:r>
        <w:rPr>
          <w:rFonts w:eastAsia="Calibri"/>
          <w:sz w:val="28"/>
          <w:lang w:eastAsia="en-US"/>
        </w:rPr>
        <w:t xml:space="preserve">АУП</w:t>
      </w:r>
      <w:r>
        <w:rPr>
          <w:rFonts w:eastAsia="Calibri"/>
          <w:sz w:val="28"/>
          <w:lang w:eastAsia="en-US"/>
        </w:rPr>
        <w:t xml:space="preserve"> и (или) </w:t>
      </w:r>
      <w:r>
        <w:rPr>
          <w:rFonts w:eastAsia="Calibri"/>
          <w:sz w:val="28"/>
          <w:lang w:eastAsia="en-US"/>
        </w:rPr>
        <w:t xml:space="preserve">СПС</w:t>
      </w:r>
      <w:r>
        <w:rPr>
          <w:rFonts w:eastAsia="Calibri"/>
          <w:sz w:val="28"/>
          <w:lang w:eastAsia="en-US"/>
        </w:rPr>
        <w:t xml:space="preserve">. При этом пусковые элементы должны быть выполнены и размещены в соответствии с требованиями, предъявляемыми к ручным пожарным извещателям.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Управление СОУЭ должно осуществляться из помещения с постоянным дежурным персоналом объекта, в котором должно быть предусмотрено:</w:t>
      </w:r>
      <w:r>
        <w:rPr>
          <w:bCs/>
        </w:rPr>
      </w:r>
      <w:r>
        <w:rPr>
          <w:bCs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</w:tabs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Световая и звуковая сигнализация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numPr>
          <w:ilvl w:val="0"/>
          <w:numId w:val="15"/>
        </w:numPr>
        <w:ind w:left="0" w:firstLine="709"/>
        <w:jc w:val="both"/>
        <w:widowControl w:val="off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пожара (с расшифровкой по направлениям или помещениям в случае применения адресных систем пожарной сигнализации);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5"/>
        </w:numPr>
        <w:ind w:left="0" w:firstLine="709"/>
        <w:jc w:val="both"/>
        <w:widowControl w:val="off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 срабатывании установки (с расшифровкой </w:t>
      </w:r>
      <w:r>
        <w:rPr>
          <w:sz w:val="28"/>
          <w:szCs w:val="28"/>
        </w:rPr>
        <w:t xml:space="preserve">по направлениям или помещениям).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Световая сигнализация: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766"/>
        <w:numPr>
          <w:ilvl w:val="0"/>
          <w:numId w:val="11"/>
        </w:numPr>
        <w:ind w:left="0" w:firstLine="709"/>
        <w:jc w:val="both"/>
        <w:widowControl w:val="off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 наличии напряжения на основном и резервном вводах электроснабжения;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1"/>
        </w:numPr>
        <w:ind w:left="0" w:firstLine="709"/>
        <w:jc w:val="both"/>
        <w:widowControl w:val="off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 отключении звуковой сигнализации о пожаре (при отсутствии автоматического восстановления сигнализации);</w:t>
      </w:r>
      <w:r>
        <w:rPr>
          <w:sz w:val="28"/>
          <w:szCs w:val="28"/>
        </w:rPr>
      </w:r>
    </w:p>
    <w:p>
      <w:pPr>
        <w:pStyle w:val="766"/>
        <w:numPr>
          <w:ilvl w:val="0"/>
          <w:numId w:val="11"/>
        </w:numPr>
        <w:ind w:left="0" w:firstLine="709"/>
        <w:jc w:val="both"/>
        <w:widowControl w:val="off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 отключении звуковой сигнализации о неисправности (при отсутствии автоматического восстановления сигнализации).</w:t>
      </w:r>
      <w:r>
        <w:rPr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Количество звуковых и речевых пожарных оповещателей, их расстановка и мощность должны обеспечивать уровень звука </w:t>
      </w:r>
      <w:r>
        <w:rPr>
          <w:rFonts w:eastAsia="Calibri"/>
          <w:lang w:eastAsia="en-US"/>
        </w:rPr>
        <w:t xml:space="preserve">не менее чем на 15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дБА выше допустимого постоянного шума в защищаемом помещении </w:t>
      </w:r>
      <w:r>
        <w:rPr>
          <w:rFonts w:eastAsia="Calibri"/>
          <w:lang w:eastAsia="en-US"/>
        </w:rPr>
        <w:t xml:space="preserve">во всех местах пребывания людей.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Эвакуационные знаки пожарной безопасности, </w:t>
      </w:r>
      <w:r>
        <w:rPr>
          <w:rFonts w:eastAsia="Calibri"/>
          <w:lang w:eastAsia="en-US"/>
        </w:rPr>
        <w:t xml:space="preserve">принцип действия которых основан на работе от электрической сети, устанавливаемые на объектах с постоянно обслужива</w:t>
      </w:r>
      <w:r>
        <w:rPr>
          <w:rFonts w:eastAsia="Calibri"/>
          <w:lang w:val="ru-RU" w:eastAsia="en-US"/>
        </w:rPr>
        <w:t xml:space="preserve">ющим</w:t>
      </w:r>
      <w:r>
        <w:rPr>
          <w:rFonts w:eastAsia="Calibri"/>
          <w:lang w:eastAsia="en-US"/>
        </w:rPr>
        <w:t xml:space="preserve"> персоналом, </w:t>
      </w:r>
      <w:r>
        <w:rPr>
          <w:rFonts w:eastAsia="Calibri"/>
          <w:lang w:eastAsia="en-US"/>
        </w:rPr>
        <w:t xml:space="preserve">должны</w:t>
      </w:r>
      <w:r>
        <w:rPr>
          <w:rFonts w:eastAsia="Calibri"/>
          <w:lang w:eastAsia="en-US"/>
        </w:rPr>
        <w:t xml:space="preserve"> работать по схеме</w:t>
      </w:r>
      <w:r>
        <w:rPr>
          <w:rFonts w:eastAsia="Calibri"/>
          <w:lang w:eastAsia="en-US"/>
        </w:rPr>
        <w:t xml:space="preserve"> -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«</w:t>
      </w:r>
      <w:r>
        <w:rPr>
          <w:rFonts w:eastAsia="Calibri"/>
          <w:lang w:eastAsia="en-US"/>
        </w:rPr>
        <w:t xml:space="preserve">включены постоянно</w:t>
      </w:r>
      <w:r>
        <w:rPr>
          <w:rFonts w:eastAsia="Calibri"/>
          <w:lang w:eastAsia="en-US"/>
        </w:rPr>
        <w:t xml:space="preserve">»</w:t>
      </w:r>
      <w:r>
        <w:rPr>
          <w:rFonts w:eastAsia="Calibri"/>
          <w:lang w:eastAsia="en-US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766"/>
        <w:ind w:left="0" w:firstLine="709"/>
        <w:jc w:val="both"/>
        <w:tabs>
          <w:tab w:val="left" w:pos="993" w:leader="none"/>
        </w:tabs>
        <w:rPr>
          <w:bCs/>
          <w:sz w:val="28"/>
          <w:szCs w:val="28"/>
        </w:rPr>
      </w:pPr>
      <w:r>
        <w:rPr>
          <w:rFonts w:eastAsia="Calibri"/>
          <w:sz w:val="28"/>
          <w:lang w:eastAsia="en-US"/>
        </w:rPr>
        <w:t xml:space="preserve">На объектах без постоянного обслуживающего персонала допускается</w:t>
      </w:r>
      <w:r>
        <w:rPr>
          <w:rFonts w:eastAsia="Calibri"/>
          <w:sz w:val="28"/>
          <w:lang w:eastAsia="en-US"/>
        </w:rPr>
        <w:t xml:space="preserve"> </w:t>
      </w:r>
      <w:r>
        <w:rPr>
          <w:rFonts w:eastAsia="Calibri"/>
          <w:sz w:val="28"/>
          <w:lang w:eastAsia="en-US"/>
        </w:rPr>
        <w:t xml:space="preserve">их включение одновременно с основными осветительными приборами рабочего освещения.</w:t>
      </w:r>
      <w:r>
        <w:rPr>
          <w:sz w:val="28"/>
          <w:szCs w:val="28"/>
        </w:rPr>
        <w:t xml:space="preserve"> Выбор типа эвакуационных знаков пожарной безопасности, указывающих направление движения людей при пожаре (фотолюминесцентные знаки пожарной безопасности, световые пожарные оповещатели, другие эвакуационные знаки пожарной безопасности), осуществляется </w:t>
      </w:r>
      <w:r>
        <w:rPr>
          <w:sz w:val="28"/>
          <w:szCs w:val="28"/>
        </w:rPr>
        <w:t xml:space="preserve">проектной организацией</w:t>
      </w:r>
      <w:r>
        <w:rPr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СОУЭ о пожаре должна работать в течение всего расчетного времени эвакуации персонала.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Кабельные линии и электропроводка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СПС</w:t>
      </w:r>
      <w:r>
        <w:rPr>
          <w:rFonts w:eastAsia="Calibri"/>
          <w:lang w:eastAsia="en-US"/>
        </w:rPr>
        <w:t xml:space="preserve"> и СОУЭ должны сохранять работоспособность в условиях пожара в течение времени, необходимого для выполнения их функций и эвакуации людей в безопасную зону.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На объектах </w:t>
      </w:r>
      <w:r>
        <w:rPr>
          <w:rFonts w:eastAsia="Calibri"/>
          <w:lang w:eastAsia="en-US"/>
        </w:rPr>
        <w:t xml:space="preserve">О</w:t>
      </w:r>
      <w:r>
        <w:rPr>
          <w:rFonts w:eastAsia="Calibri"/>
          <w:lang w:val="ru-RU" w:eastAsia="en-US"/>
        </w:rPr>
        <w:t xml:space="preserve">бщества</w:t>
      </w:r>
      <w:r>
        <w:rPr>
          <w:rFonts w:eastAsia="Calibri"/>
          <w:lang w:eastAsia="en-US"/>
        </w:rPr>
        <w:t xml:space="preserve"> для систем противопожарной автоматики должны применяться огнестойкие кабели с медными жилами и в оболочках из полимерных материалов, обеспечивающих требования по нераспространению горения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Пожарные извещатели должны выбираться из</w:t>
      </w:r>
      <w:r>
        <w:rPr>
          <w:rFonts w:eastAsia="Calibri"/>
          <w:lang w:val="ru-RU" w:eastAsia="en-US"/>
        </w:rPr>
        <w:t xml:space="preserve">ходя из</w:t>
      </w:r>
      <w:r>
        <w:rPr>
          <w:rFonts w:eastAsia="Calibri"/>
          <w:lang w:eastAsia="en-US"/>
        </w:rPr>
        <w:t xml:space="preserve"> услови</w:t>
      </w:r>
      <w:r>
        <w:rPr>
          <w:rFonts w:eastAsia="Calibri"/>
          <w:lang w:val="ru-RU" w:eastAsia="en-US"/>
        </w:rPr>
        <w:t xml:space="preserve">й </w:t>
      </w:r>
      <w:r>
        <w:rPr>
          <w:rFonts w:eastAsia="Calibri"/>
          <w:lang w:eastAsia="en-US"/>
        </w:rPr>
        <w:t xml:space="preserve">раннего обнаружения пожара, окружающей среды их установки (влажности, взрывоопасности, рабочей температуры, скорости воздушного потока и т.п.), а также удобства эксплуатации.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Расчетное время тушения пожара водяными или пенными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составляет 10 минут, после чего установка должна отключаться автоматически или вручную. Запас воды должен обеспечивать работу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в течение не менее 30 минут.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Емкости с пенообразователем следует располагать вне основных производственных помещений (за исключением насосной пожаротушения), при этом температура пенообразователя или его раствора должна поддерж</w:t>
      </w:r>
      <w:r>
        <w:rPr>
          <w:rFonts w:eastAsia="Calibri"/>
          <w:lang w:eastAsia="en-US"/>
        </w:rPr>
        <w:t xml:space="preserve">иваться в пределах от +5 до +20°</w:t>
      </w:r>
      <w:r>
        <w:rPr>
          <w:rFonts w:eastAsia="Calibri"/>
          <w:lang w:eastAsia="en-US"/>
        </w:rPr>
        <w:t xml:space="preserve">С по условиям хранения.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Каждая емкость с пенообразователем или его раствором должна оборудоваться сигнализацией допустимого уровня. Импульс от сигнализации должен выдаваться на панель управления насосной станции пожаротушения, на щит управления с постоянным </w:t>
      </w:r>
      <w:r>
        <w:rPr>
          <w:rFonts w:eastAsia="Calibri"/>
          <w:lang w:val="ru-RU" w:eastAsia="en-US"/>
        </w:rPr>
        <w:t xml:space="preserve">дежурным </w:t>
      </w:r>
      <w:r>
        <w:rPr>
          <w:rFonts w:eastAsia="Calibri"/>
          <w:lang w:eastAsia="en-US"/>
        </w:rPr>
        <w:t xml:space="preserve">персоналом</w:t>
      </w:r>
      <w:r>
        <w:rPr>
          <w:rFonts w:eastAsia="Calibri"/>
          <w:lang w:val="ru-RU" w:eastAsia="en-US"/>
        </w:rPr>
        <w:t xml:space="preserve"> объекта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Опознавательная окраска оборудования, арматуры и трубопроводов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производится в соответствии с требованиями нормативных документов по пожарной безопасности.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Узлы управления запорно-пусковых устройств трансформаторов (реакторов), кабельных сооружений следует предусматривать: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92"/>
        <w:numPr>
          <w:ilvl w:val="0"/>
          <w:numId w:val="29"/>
        </w:numPr>
        <w:ind w:left="0" w:firstLine="709"/>
        <w:jc w:val="both"/>
        <w:tabs>
          <w:tab w:val="left" w:pos="709" w:leader="none"/>
          <w:tab w:val="left" w:pos="99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отдельном здании, расположенном не ближе 15 м от этого трансформатора (реактора)</w:t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92"/>
        <w:numPr>
          <w:ilvl w:val="0"/>
          <w:numId w:val="29"/>
        </w:numPr>
        <w:ind w:left="0" w:firstLine="709"/>
        <w:jc w:val="both"/>
        <w:tabs>
          <w:tab w:val="left" w:pos="709" w:leader="none"/>
          <w:tab w:val="left" w:pos="99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производственных помещениях категории Г и Д в местах, удобных для обслуживания и безопасных при пожаре на трансформаторе. Установка перегородок, отделяющих узлы и ЗПУ от производственных помещений, в этом случае не требуется.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Не допускается размещать узлы управления и отдельные запорно-пусковые устройства в подвалах и колодцах, которые при авариях могут быть затоплены водой или залиты нефтепродуктами, а также в помещениях, защищаемых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Автоматический пуск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должен дублироваться дистанционным включением (отключением) дежурным персоналом со щитов управления, а также по месту установки запорной арматуры и насосов.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Все световые и звуковые сигналы пожарной автоматики должны быть четкими и отличаться от других систем технологической сигнализации щита управления.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</w:pPr>
      <w:r>
        <w:t xml:space="preserve">Схема организации сигналов на табло в оперативном контуре щита управления и используемая для этой цели аппаратура должны быть аналогичны применяемой на данном щите.</w:t>
      </w:r>
      <w:r/>
    </w:p>
    <w:p>
      <w:pPr>
        <w:pStyle w:val="769"/>
        <w:ind w:left="0" w:firstLine="709"/>
      </w:pPr>
      <w:r>
        <w:t xml:space="preserve">На ПС управление </w:t>
      </w:r>
      <w:r>
        <w:t xml:space="preserve">СПС</w:t>
      </w:r>
      <w:r>
        <w:t xml:space="preserve"> и </w:t>
      </w:r>
      <w:r>
        <w:t xml:space="preserve">АУП</w:t>
      </w:r>
      <w:r>
        <w:t xml:space="preserve"> выводится на щит управления дежурному персоналу.</w:t>
      </w:r>
      <w:r/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На объектах, где проектируются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газового, аэрозольного или порошкового пожаротушения, для защиты персонала, производственная деятельность которого будет связана с выполнением работы в защищаемых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помещениях, в проектной документации должны быть </w:t>
      </w:r>
      <w:r>
        <w:rPr>
          <w:rFonts w:eastAsia="Calibri"/>
          <w:lang w:val="ru-RU" w:eastAsia="en-US"/>
        </w:rPr>
        <w:t xml:space="preserve">предусмотрены решения</w:t>
      </w:r>
      <w:r>
        <w:rPr>
          <w:rFonts w:eastAsia="Calibri"/>
          <w:lang w:eastAsia="en-US"/>
        </w:rPr>
        <w:t xml:space="preserve"> по оснащению </w:t>
      </w:r>
      <w:r>
        <w:rPr>
          <w:rFonts w:eastAsia="Calibri"/>
          <w:lang w:val="ru-RU" w:eastAsia="en-US"/>
        </w:rPr>
        <w:t xml:space="preserve">данных объектов </w:t>
      </w:r>
      <w:r>
        <w:rPr>
          <w:rFonts w:eastAsia="Calibri"/>
          <w:lang w:eastAsia="en-US"/>
        </w:rPr>
        <w:t xml:space="preserve">СИЗОД.</w:t>
      </w:r>
      <w:r>
        <w:rPr>
          <w:bCs/>
        </w:rPr>
      </w:r>
      <w:r>
        <w:rPr>
          <w:bCs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</w:tabs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СИЗОД должны обеспечивать безопасность людей в течение времени действия опасных факторов пожара, по пути эвакуации, но не менее 20 минут.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bCs/>
        </w:rPr>
      </w:pPr>
      <w:r>
        <w:rPr>
          <w:rFonts w:eastAsia="Calibri"/>
          <w:lang w:eastAsia="en-US"/>
        </w:rPr>
        <w:t xml:space="preserve"> По надежности электроснабжения все электротехническое оборудование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, элементов управления и </w:t>
      </w:r>
      <w:r>
        <w:rPr>
          <w:rFonts w:eastAsia="Calibri"/>
          <w:lang w:eastAsia="en-US"/>
        </w:rPr>
        <w:t xml:space="preserve">СПС</w:t>
      </w:r>
      <w:r>
        <w:rPr>
          <w:rFonts w:eastAsia="Calibri"/>
          <w:lang w:eastAsia="en-US"/>
        </w:rPr>
        <w:t xml:space="preserve"> относится к приемникам электрической энергии первой категории и должно обеспечиваться от двух независимых источников электропитания.</w:t>
      </w:r>
      <w:r>
        <w:rPr>
          <w:rFonts w:eastAsia="Calibri"/>
          <w:lang w:eastAsia="en-US"/>
        </w:rPr>
        <w:t xml:space="preserve">  </w:t>
      </w:r>
      <w:r>
        <w:rPr>
          <w:bCs/>
        </w:rPr>
      </w:r>
      <w:r>
        <w:rPr>
          <w:bCs/>
        </w:rPr>
      </w:r>
    </w:p>
    <w:p>
      <w:pPr>
        <w:pStyle w:val="766"/>
        <w:ind w:left="0" w:firstLine="709"/>
        <w:jc w:val="both"/>
      </w:pPr>
      <w:r>
        <w:rPr>
          <w:rFonts w:eastAsia="Calibri"/>
          <w:sz w:val="28"/>
          <w:szCs w:val="28"/>
          <w:lang w:eastAsia="en-US"/>
        </w:rPr>
        <w:t xml:space="preserve">Взаимно резервируемые кабельные линии электропитания следует прокладывать по разным трассам для исключения их повреждения при пожаре или аварии на соответствующем оборудовании или в помещении.</w:t>
      </w:r>
      <w:r/>
    </w:p>
    <w:p>
      <w:pPr>
        <w:pStyle w:val="769"/>
        <w:ind w:left="0" w:firstLine="709"/>
        <w:rPr>
          <w:bCs/>
        </w:rPr>
      </w:pPr>
      <w:r>
        <w:t xml:space="preserve"> </w:t>
      </w:r>
      <w:r>
        <w:t xml:space="preserve">Электропроводки СП</w:t>
      </w:r>
      <w:r>
        <w:t xml:space="preserve">П</w:t>
      </w:r>
      <w:r>
        <w:t xml:space="preserve">З, в том числе линии слаботочных систем, должны выполняться огнестойкими, не распространяющими горение кабелями с медными жилами. </w:t>
      </w:r>
      <w:r>
        <w:rPr>
          <w:bCs/>
        </w:rPr>
      </w:r>
      <w:r>
        <w:rPr>
          <w:bCs/>
        </w:rPr>
      </w:r>
    </w:p>
    <w:p>
      <w:pPr>
        <w:pStyle w:val="769"/>
        <w:ind w:left="0" w:firstLine="709"/>
        <w:rPr>
          <w:bCs/>
        </w:rPr>
      </w:pPr>
      <w:r>
        <w:t xml:space="preserve"> </w:t>
      </w:r>
      <w:r>
        <w:t xml:space="preserve">Волоконно-оптические линии связи СП</w:t>
      </w:r>
      <w:r>
        <w:t xml:space="preserve">П</w:t>
      </w:r>
      <w:r>
        <w:t xml:space="preserve">З должны выполняться огнестойкими, не распространяющими горение кабелями.</w:t>
      </w:r>
      <w:r>
        <w:rPr>
          <w:bCs/>
        </w:rPr>
      </w:r>
      <w:r>
        <w:rPr>
          <w:bCs/>
        </w:rPr>
      </w:r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Допускается выполнять электропроводки СППЗ шинопроводами с медными и алюминиевыми шинами.</w:t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t xml:space="preserve"> </w:t>
      </w:r>
      <w:r>
        <w:t xml:space="preserve">Электропроводки СП</w:t>
      </w:r>
      <w:r>
        <w:t xml:space="preserve">П</w:t>
      </w:r>
      <w:r>
        <w:t xml:space="preserve">З допускается выполнять неогнестойкими кабелями (без индекса </w:t>
      </w:r>
      <w:r>
        <w:t xml:space="preserve">«</w:t>
      </w:r>
      <w:r>
        <w:t xml:space="preserve">FR</w:t>
      </w:r>
      <w:r>
        <w:t xml:space="preserve">»</w:t>
      </w:r>
      <w:r>
        <w:t xml:space="preserve">) в:</w:t>
      </w:r>
      <w:r/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безадресных линиях связи с неадресными пожарными извещателями СППС;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кольцевых линиях связи при подключении в них изоляторов короткого замыкания;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кольцевых волоконно-оптических линиях связи;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цепях управления и контроля противопожарными нормально открытыми клапанами (НО), входящими в состав общеобменной вентиляции;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цепях питания светильников аварийного освещения со встроенными </w:t>
      </w:r>
      <w:r>
        <w:rPr>
          <w:rFonts w:eastAsia="Calibri"/>
          <w:bCs/>
          <w:sz w:val="28"/>
          <w:szCs w:val="20"/>
          <w:lang w:eastAsia="en-US"/>
        </w:rPr>
        <w:t xml:space="preserve">автономными источниками питания</w:t>
      </w:r>
      <w:r>
        <w:rPr>
          <w:rFonts w:eastAsia="Calibri"/>
          <w:bCs/>
          <w:sz w:val="28"/>
          <w:szCs w:val="20"/>
          <w:lang w:eastAsia="en-US"/>
        </w:rPr>
        <w:t xml:space="preserve"> (например, АКБ) и иными накопителями энергии, обеспечивающими работу светильников на путях эвакуации продолжительностью не менее 1 часа в режиме </w:t>
      </w:r>
      <w:r>
        <w:rPr>
          <w:rFonts w:eastAsia="Calibri"/>
          <w:bCs/>
          <w:sz w:val="28"/>
          <w:szCs w:val="20"/>
          <w:lang w:eastAsia="en-US"/>
        </w:rPr>
        <w:t xml:space="preserve">«</w:t>
      </w:r>
      <w:r>
        <w:rPr>
          <w:rFonts w:eastAsia="Calibri"/>
          <w:bCs/>
          <w:sz w:val="28"/>
          <w:szCs w:val="20"/>
          <w:lang w:eastAsia="en-US"/>
        </w:rPr>
        <w:t xml:space="preserve">Пожар</w:t>
      </w:r>
      <w:r>
        <w:rPr>
          <w:rFonts w:eastAsia="Calibri"/>
          <w:bCs/>
          <w:sz w:val="28"/>
          <w:szCs w:val="20"/>
          <w:lang w:eastAsia="en-US"/>
        </w:rPr>
        <w:t xml:space="preserve">»</w:t>
      </w:r>
      <w:r>
        <w:rPr>
          <w:rFonts w:eastAsia="Calibri"/>
          <w:bCs/>
          <w:sz w:val="28"/>
          <w:szCs w:val="20"/>
          <w:lang w:eastAsia="en-US"/>
        </w:rPr>
        <w:t xml:space="preserve">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линиях, прокладываемых в огнестойких коробах, сохраняющих работоспособность электропроводок СППЗ в условиях пожара в течение времени, необходимого для выполнения их функций;</w:t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bCs/>
          <w:sz w:val="28"/>
          <w:szCs w:val="20"/>
          <w:lang w:eastAsia="en-US"/>
        </w:rPr>
      </w:pPr>
      <w:r>
        <w:rPr>
          <w:rFonts w:eastAsia="Calibri"/>
          <w:bCs/>
          <w:sz w:val="28"/>
          <w:szCs w:val="20"/>
          <w:lang w:eastAsia="en-US"/>
        </w:rPr>
        <w:t xml:space="preserve">линиях электропитания ППКП и ППУ, имеющих резервный ввод от встроенных АИП (АКБ).</w:t>
      </w:r>
      <w:r>
        <w:rPr>
          <w:rFonts w:eastAsia="Calibri"/>
          <w:bCs/>
          <w:sz w:val="28"/>
          <w:szCs w:val="20"/>
          <w:lang w:eastAsia="en-US"/>
        </w:rPr>
      </w:r>
      <w:r>
        <w:rPr>
          <w:rFonts w:eastAsia="Calibri"/>
          <w:bCs/>
          <w:sz w:val="28"/>
          <w:szCs w:val="20"/>
          <w:lang w:eastAsia="en-US"/>
        </w:rPr>
      </w:r>
    </w:p>
    <w:p>
      <w:pPr>
        <w:pStyle w:val="769"/>
        <w:ind w:left="0" w:firstLine="709"/>
      </w:pPr>
      <w:r>
        <w:t xml:space="preserve"> </w:t>
      </w:r>
      <w:r>
        <w:t xml:space="preserve">Совместная прокладка кабелей и проводов СП</w:t>
      </w:r>
      <w:r>
        <w:t xml:space="preserve">П</w:t>
      </w:r>
      <w:r>
        <w:t xml:space="preserve">З с кабелями и проводами иного назначения, а также кабелей питания СП</w:t>
      </w:r>
      <w:r>
        <w:t xml:space="preserve">П</w:t>
      </w:r>
      <w:r>
        <w:t xml:space="preserve">З и кабелей линий связи СП</w:t>
      </w:r>
      <w:r>
        <w:t xml:space="preserve">П</w:t>
      </w:r>
      <w:r>
        <w:t xml:space="preserve">З в одном коробе, трубе, жгуте, замкнутом канале строительной конструкции не допускается.</w:t>
      </w:r>
      <w:r/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одном сплошном металлическом коробе (лотке) допускается совместно прокладывать экранированные кабели линий связи СП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З с линиями связи, не относящимися к СП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З, и экранированные кабели линий связи СП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З с экранированными кабелями питания СП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З при условии их разделения, в указанных случаях, сплошной металлической перегородкой</w:t>
      </w:r>
      <w:r>
        <w:rPr>
          <w:sz w:val="28"/>
          <w:szCs w:val="28"/>
        </w:rPr>
        <w:t xml:space="preserve"> по всей высоте короба (лотка).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Не допускается совместная прокладка кольцевых линий связи СПЗ в одном коробе, трубе, жгуте, замкнутом канале строительной конструкции или на одном лотке.</w:t>
      </w:r>
      <w:r/>
    </w:p>
    <w:p>
      <w:pPr>
        <w:pStyle w:val="769"/>
        <w:ind w:left="0" w:firstLine="709"/>
      </w:pPr>
      <w:r>
        <w:t xml:space="preserve">При наличии бесплатных специализированных программ по выбору кабельной продукции, разработанных производителями оборудования, проведение расчетов </w:t>
      </w:r>
      <w:r>
        <w:rPr>
          <w:lang w:val="ru-RU"/>
        </w:rPr>
        <w:t xml:space="preserve">допускается </w:t>
      </w:r>
      <w:r>
        <w:t xml:space="preserve">осуществлять с применением этих программ.</w:t>
      </w:r>
      <w:r/>
    </w:p>
    <w:p>
      <w:pPr>
        <w:pStyle w:val="792"/>
        <w:ind w:left="0" w:firstLine="709"/>
        <w:jc w:val="both"/>
        <w:tabs>
          <w:tab w:val="left" w:pos="709" w:leader="none"/>
          <w:tab w:val="left" w:pos="993" w:leader="none"/>
          <w:tab w:val="left" w:pos="127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8"/>
        <w:spacing w:line="240" w:lineRule="auto"/>
        <w:rPr>
          <w:b/>
        </w:rPr>
      </w:pPr>
      <w:r>
        <w:rPr>
          <w:rFonts w:eastAsia="Calibri"/>
          <w:b/>
          <w:lang w:eastAsia="en-US"/>
        </w:rPr>
        <w:t xml:space="preserve">Систем</w:t>
      </w:r>
      <w:r>
        <w:rPr>
          <w:rFonts w:eastAsia="Calibri"/>
          <w:b/>
          <w:lang w:eastAsia="en-US"/>
        </w:rPr>
        <w:t xml:space="preserve">ы </w:t>
      </w:r>
      <w:r>
        <w:rPr>
          <w:rFonts w:eastAsia="Calibri"/>
          <w:b/>
          <w:lang w:eastAsia="en-US"/>
        </w:rPr>
        <w:t xml:space="preserve">автоматического пожаротушения </w:t>
      </w:r>
      <w:r>
        <w:rPr>
          <w:rFonts w:eastAsia="Calibri"/>
          <w:b/>
          <w:lang w:eastAsia="en-US"/>
        </w:rPr>
        <w:t xml:space="preserve">трансформаторов (реакторов)</w:t>
      </w:r>
      <w:r>
        <w:rPr>
          <w:rFonts w:eastAsia="Calibri"/>
          <w:b/>
          <w:lang w:val="ru-RU" w:eastAsia="en-US"/>
        </w:rPr>
        <w:t xml:space="preserve"> открытой установки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защиты автотрансформаторов и реакторов, расположенных на территории ОРУ должны применяться АУВПТ с лафетными стволами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насадками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примерные </w:t>
      </w:r>
      <w:r>
        <w:rPr>
          <w:rFonts w:eastAsia="Calibri"/>
          <w:lang w:eastAsia="en-US"/>
        </w:rPr>
        <w:t xml:space="preserve">схемы АУВПТ см. </w:t>
      </w:r>
      <w:r>
        <w:rPr>
          <w:rFonts w:eastAsia="Calibri" w:cs="Arial"/>
          <w:bCs/>
          <w:lang w:eastAsia="en-US"/>
        </w:rPr>
        <w:t xml:space="preserve">в </w:t>
      </w:r>
      <w:r>
        <w:fldChar w:fldCharType="begin"/>
      </w:r>
      <w:r>
        <w:instrText xml:space="preserve"> HYPERLINK \l "Приложение_1" </w:instrText>
      </w:r>
      <w:r>
        <w:fldChar w:fldCharType="separate"/>
      </w:r>
      <w:r>
        <w:rPr>
          <w:rStyle w:val="861"/>
          <w:rFonts w:eastAsia="Calibri" w:cs="Arial"/>
          <w:bCs/>
          <w:lang w:eastAsia="en-US"/>
        </w:rPr>
        <w:t xml:space="preserve">приложении А</w:t>
      </w:r>
      <w:r>
        <w:rPr>
          <w:rStyle w:val="861"/>
          <w:rFonts w:eastAsia="Calibri"/>
          <w:lang w:eastAsia="en-US"/>
        </w:rPr>
        <w:t xml:space="preserve">,</w:t>
      </w:r>
      <w:r>
        <w:rPr>
          <w:rStyle w:val="861"/>
          <w:rFonts w:eastAsia="Calibri"/>
          <w:lang w:eastAsia="en-US"/>
        </w:rPr>
        <w:t xml:space="preserve"> </w:t>
      </w:r>
      <w:r>
        <w:rPr>
          <w:rStyle w:val="861"/>
          <w:rFonts w:eastAsia="Calibri" w:cs="Arial"/>
          <w:bCs/>
          <w:lang w:eastAsia="en-US"/>
        </w:rPr>
        <w:t xml:space="preserve">Б</w:t>
      </w:r>
      <w:r>
        <w:rPr>
          <w:rStyle w:val="861"/>
          <w:rFonts w:eastAsia="Calibri" w:cs="Arial"/>
          <w:bCs/>
          <w:lang w:eastAsia="en-US"/>
        </w:rPr>
        <w:fldChar w:fldCharType="end"/>
      </w:r>
      <w:r>
        <w:rPr>
          <w:rFonts w:eastAsia="Calibri"/>
          <w:lang w:eastAsia="en-US"/>
        </w:rPr>
        <w:t xml:space="preserve"> к настоящ</w:t>
      </w:r>
      <w:r>
        <w:rPr>
          <w:rFonts w:eastAsia="Calibri"/>
          <w:lang w:eastAsia="en-US"/>
        </w:rPr>
        <w:t xml:space="preserve">им</w:t>
      </w:r>
      <w:r>
        <w:rPr>
          <w:rFonts w:eastAsia="Calibri"/>
          <w:lang w:eastAsia="en-US"/>
        </w:rPr>
        <w:t xml:space="preserve"> </w:t>
      </w:r>
      <w:r>
        <w:t xml:space="preserve">Руководящим</w:t>
      </w:r>
      <w:r>
        <w:t xml:space="preserve"> </w:t>
      </w:r>
      <w:r>
        <w:t xml:space="preserve">указаниям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 на:</w:t>
      </w:r>
      <w:r>
        <w:rPr>
          <w:rFonts w:eastAsia="Calibri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 xml:space="preserve">на ПС 220-330 кВ с единичной мощностью </w:t>
      </w:r>
      <w:r>
        <w:rPr>
          <w:rFonts w:eastAsia="Calibri"/>
          <w:bCs/>
          <w:sz w:val="28"/>
          <w:lang w:eastAsia="en-US"/>
        </w:rPr>
        <w:t xml:space="preserve">оборудования </w:t>
      </w:r>
      <w:r>
        <w:rPr>
          <w:rFonts w:eastAsia="Calibri"/>
          <w:bCs/>
          <w:sz w:val="28"/>
          <w:lang w:eastAsia="en-US"/>
        </w:rPr>
        <w:t xml:space="preserve">200 МВА </w:t>
      </w:r>
      <w:r>
        <w:rPr>
          <w:rFonts w:eastAsia="Calibri"/>
          <w:bCs/>
          <w:sz w:val="28"/>
          <w:lang w:eastAsia="en-US"/>
        </w:rPr>
        <w:t xml:space="preserve">(Мвар) </w:t>
      </w:r>
      <w:r>
        <w:rPr>
          <w:rFonts w:eastAsia="Calibri"/>
          <w:bCs/>
          <w:sz w:val="28"/>
          <w:lang w:eastAsia="en-US"/>
        </w:rPr>
        <w:t xml:space="preserve">и выше</w:t>
      </w:r>
      <w:r>
        <w:rPr>
          <w:rFonts w:eastAsia="Calibri"/>
          <w:bCs/>
          <w:sz w:val="28"/>
          <w:lang w:eastAsia="en-US"/>
        </w:rPr>
        <w:t xml:space="preserve">;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792"/>
        <w:numPr>
          <w:ilvl w:val="0"/>
          <w:numId w:val="26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 xml:space="preserve">на ПС 500 кВ и выше независимо от единичной мощности</w:t>
      </w:r>
      <w:r>
        <w:rPr>
          <w:rFonts w:eastAsia="Calibri"/>
          <w:bCs/>
          <w:sz w:val="28"/>
          <w:lang w:eastAsia="en-US"/>
        </w:rPr>
        <w:t xml:space="preserve"> оборудования</w:t>
      </w:r>
      <w:r>
        <w:rPr>
          <w:rFonts w:eastAsia="Calibri"/>
          <w:bCs/>
          <w:sz w:val="28"/>
          <w:lang w:eastAsia="en-US"/>
        </w:rPr>
        <w:t xml:space="preserve">.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автоматического включения насосов, запорно-пусковых устройств АУП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Т при пожаре должны использоваться:</w:t>
      </w:r>
      <w:r>
        <w:rPr>
          <w:rFonts w:eastAsia="Calibri"/>
          <w:lang w:eastAsia="en-US"/>
        </w:rPr>
      </w:r>
    </w:p>
    <w:p>
      <w:pPr>
        <w:pStyle w:val="792"/>
        <w:numPr>
          <w:ilvl w:val="0"/>
          <w:numId w:val="21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для силовых трансформаторов, автотрансформаторов (реакторов) – от специальн</w:t>
      </w:r>
      <w:r>
        <w:rPr>
          <w:rFonts w:eastAsia="Calibri"/>
          <w:sz w:val="28"/>
          <w:lang w:eastAsia="en-US"/>
        </w:rPr>
        <w:t xml:space="preserve">ых устройств обнаружения пожара;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792"/>
        <w:numPr>
          <w:ilvl w:val="0"/>
          <w:numId w:val="21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для блочных трансформаторов</w:t>
      </w:r>
      <w:r>
        <w:rPr>
          <w:rFonts w:eastAsia="Calibri"/>
          <w:sz w:val="28"/>
          <w:lang w:eastAsia="en-US"/>
        </w:rPr>
        <w:t xml:space="preserve">, соединенных с генераторами без выключателей, для трансформаторов, устанавливаемых в помещениях и для трансформаторов, устанавливаемых на объектах без постоянного обслуживающего персонала</w:t>
      </w:r>
      <w:r>
        <w:rPr>
          <w:rFonts w:eastAsia="Calibri"/>
          <w:sz w:val="28"/>
          <w:lang w:eastAsia="en-US"/>
        </w:rPr>
        <w:t xml:space="preserve"> – от устройства контроля изоляции вводов</w:t>
      </w:r>
      <w:r>
        <w:rPr>
          <w:rFonts w:eastAsia="Calibri"/>
          <w:sz w:val="28"/>
          <w:lang w:eastAsia="en-US"/>
        </w:rPr>
        <w:t xml:space="preserve"> (КИВ).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Автоматический пуск АУВПТ трансформатора, как правило, должен предусматриваться от следующих защит, действующих на отключение трансформатора:</w:t>
      </w:r>
      <w:r>
        <w:rPr>
          <w:rFonts w:eastAsia="Calibri"/>
          <w:lang w:eastAsia="en-US"/>
        </w:rPr>
      </w:r>
    </w:p>
    <w:p>
      <w:pPr>
        <w:pStyle w:val="792"/>
        <w:numPr>
          <w:ilvl w:val="0"/>
          <w:numId w:val="23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II-й ступени газовой защиты;</w:t>
      </w:r>
      <w:r>
        <w:rPr>
          <w:rFonts w:eastAsia="Calibri"/>
          <w:sz w:val="28"/>
          <w:lang w:eastAsia="en-US"/>
        </w:rPr>
      </w:r>
    </w:p>
    <w:p>
      <w:pPr>
        <w:pStyle w:val="792"/>
        <w:numPr>
          <w:ilvl w:val="0"/>
          <w:numId w:val="23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дифференциальной защиты;</w:t>
      </w:r>
      <w:r>
        <w:rPr>
          <w:rFonts w:eastAsia="Calibri"/>
          <w:sz w:val="28"/>
          <w:lang w:eastAsia="en-US"/>
        </w:rPr>
      </w:r>
    </w:p>
    <w:p>
      <w:pPr>
        <w:pStyle w:val="792"/>
        <w:numPr>
          <w:ilvl w:val="0"/>
          <w:numId w:val="23"/>
        </w:numPr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устройства контроля изоляции вводов (КИВ) для блочных трансформаторов, соединенных с генераторами без выключателей.</w:t>
      </w:r>
      <w:r>
        <w:rPr>
          <w:rFonts w:eastAsia="Calibri"/>
          <w:sz w:val="28"/>
          <w:lang w:eastAsia="en-US"/>
        </w:rPr>
      </w:r>
    </w:p>
    <w:p>
      <w:pPr>
        <w:pStyle w:val="792"/>
        <w:ind w:left="0" w:firstLine="709"/>
        <w:jc w:val="both"/>
        <w:tabs>
          <w:tab w:val="left" w:pos="851" w:leader="none"/>
          <w:tab w:val="left" w:pos="1418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Последовательное включение пусковых органов, указанных защит, при запуске установки пожаротушения не допускается.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792"/>
        <w:ind w:left="0" w:firstLine="709"/>
        <w:jc w:val="both"/>
        <w:tabs>
          <w:tab w:val="left" w:pos="0" w:leader="none"/>
          <w:tab w:val="left" w:pos="1276" w:leader="none"/>
        </w:tabs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Применение дифференциальной и газовой защиты трансформаторов, автотрансформаторов и шунтирующих реакторов для автоматического включения насосов и запорно-пусковых устройств </w:t>
      </w:r>
      <w:r>
        <w:rPr>
          <w:rFonts w:eastAsia="Calibri"/>
          <w:sz w:val="28"/>
          <w:lang w:eastAsia="en-US"/>
        </w:rPr>
        <w:t xml:space="preserve">АУП</w:t>
      </w:r>
      <w:r>
        <w:rPr>
          <w:rFonts w:eastAsia="Calibri"/>
          <w:sz w:val="28"/>
          <w:lang w:eastAsia="en-US"/>
        </w:rPr>
        <w:t xml:space="preserve"> допускается только через станцию пожаротушения.</w:t>
      </w:r>
      <w:r>
        <w:rPr>
          <w:rFonts w:eastAsia="Calibri"/>
          <w:sz w:val="28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Дистанционное управление должно предусматривать пуск и останов пожарных насосов, открытие и закрытие задвижек, а также соответствующих систем вентиляции или кондиционирования.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щитах управления должна выполняться схема сигнализации открытого или закрытого положения запорной арматуры установок водяного пожаротушения.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Инерционность срабатывания АУ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ПТ не должна превышать 3 мин.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АУ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ПТ должна предусматриваться блокировка, предотвращающая одновременную подачу огнетушащ</w:t>
      </w:r>
      <w:r>
        <w:rPr>
          <w:rFonts w:eastAsia="Calibri"/>
          <w:lang w:eastAsia="en-US"/>
        </w:rPr>
        <w:t xml:space="preserve">его вещества более одного направления (отсека) соответствующего защищаемого помещения или сооружения (оборудования). Снятие блокировки и подача огнетушащих веществ в другие помещения или на оборудование должны производиться дистанционно со щита управления.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Запорно-пусковые устройства (электрозадвижки, клапаны и т.п.)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для удобства эксплуатации рекомендуется группировать в отдельных узлах управления. Такие узлы управления должны размещаться в местах, доступных и безопасных при пожаре, с температурой воздуха не ниже </w:t>
      </w:r>
      <w:r>
        <w:rPr>
          <w:rFonts w:eastAsia="Calibri"/>
          <w:lang w:eastAsia="en-US"/>
        </w:rPr>
        <w:t xml:space="preserve">+5</w:t>
      </w:r>
      <w:r>
        <w:rPr>
          <w:rFonts w:eastAsia="Calibri"/>
          <w:vertAlign w:val="superscript"/>
          <w:lang w:eastAsia="en-US"/>
        </w:rPr>
        <w:t xml:space="preserve"> °</w:t>
      </w:r>
      <w:r>
        <w:rPr>
          <w:rFonts w:eastAsia="Calibri"/>
          <w:lang w:eastAsia="en-US"/>
        </w:rPr>
        <w:t xml:space="preserve">С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узлам управления для четырех и более направлений следует предусматривать подвод огнетушащих веществ по двум трубам от магистрального трубопровода, закольцованного внутри узла управления.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Перед запорно-пусковыми устройствами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следует устанавливать ремонтные задвижки с ручным приводом или использовать разделительные задвижки подводящих кольцевых трубопроводов из расчета возможности вывода в ремонт не более трех направлений этой установки.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прокладка подводящих трубопроводов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по помещениям, защищаемым этой же установкой, а также в помещении с температурой воздуха ниже +5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vertAlign w:val="superscript"/>
          <w:lang w:eastAsia="en-US"/>
        </w:rPr>
        <w:t xml:space="preserve">о</w:t>
      </w:r>
      <w:r>
        <w:rPr>
          <w:rFonts w:eastAsia="Calibri"/>
          <w:lang w:eastAsia="en-US"/>
        </w:rPr>
        <w:t xml:space="preserve">С.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Расположение оросителей АУ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ПТ трансформаторов (реакторов) должно обеспечивать орошение защищаемой поверхности, с интенсивностью не ниже 0,2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л/с</w:t>
      </w:r>
      <w:r>
        <w:rPr>
          <w:rFonts w:ascii="Symbol" w:hAnsi="Symbol" w:eastAsia="Symbol" w:cs="Symbol"/>
          <w:lang w:eastAsia="en-US"/>
        </w:rPr>
        <w:t xml:space="preserve">×</w:t>
      </w:r>
      <w:r>
        <w:rPr>
          <w:rFonts w:eastAsia="Calibri"/>
          <w:lang w:eastAsia="en-US"/>
        </w:rPr>
        <w:t xml:space="preserve">м</w:t>
      </w:r>
      <w:r>
        <w:rPr>
          <w:rFonts w:eastAsia="Calibri"/>
          <w:vertAlign w:val="superscript"/>
          <w:lang w:eastAsia="en-US"/>
        </w:rPr>
        <w:t xml:space="preserve">2</w:t>
      </w:r>
      <w:r>
        <w:rPr>
          <w:rFonts w:eastAsia="Calibri"/>
          <w:lang w:eastAsia="en-US"/>
        </w:rPr>
        <w:t xml:space="preserve">, включая высоковольтные вводы, маслоохладители и маслоприемник в пределах бортового ограждения. Расположени</w:t>
      </w:r>
      <w:r>
        <w:rPr>
          <w:rFonts w:eastAsia="Calibri"/>
          <w:lang w:eastAsia="en-US"/>
        </w:rPr>
        <w:t xml:space="preserve">е оросителей и их количество уточняется по картам орошения. Расчетное время тушения пожара трансформаторов распыленной водой с помощью станционных установок следует принимать 10 мин. Запас воды следует принимать из условия обеспечения трехкратного расхода.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Расчетный расход воды АУ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ПТ </w:t>
      </w:r>
      <w:r>
        <w:rPr>
          <w:rFonts w:eastAsia="Calibri"/>
          <w:lang w:eastAsia="en-US"/>
        </w:rPr>
        <w:t xml:space="preserve">для тушения </w:t>
      </w:r>
      <w:r>
        <w:rPr>
          <w:rFonts w:eastAsia="Calibri"/>
          <w:lang w:eastAsia="en-US"/>
        </w:rPr>
        <w:t xml:space="preserve">трансформатора должен приниматься по наибольшему расходу, требующемуся на пожаротушение наибольшего по вместимости масла трансформатора.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Пуск АУ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ПТ трансформатора должен производиться через устройство контроля отключения его выключателей со всех сторон электропитания.</w:t>
      </w:r>
      <w:r>
        <w:rPr>
          <w:rFonts w:eastAsia="Calibri"/>
          <w:lang w:eastAsia="en-US"/>
        </w:rPr>
      </w:r>
    </w:p>
    <w:p>
      <w:pPr>
        <w:pStyle w:val="766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6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768"/>
        <w:spacing w:line="240" w:lineRule="auto"/>
        <w:rPr>
          <w:b/>
        </w:rPr>
      </w:pPr>
      <w:r>
        <w:rPr>
          <w:rFonts w:eastAsia="Calibri"/>
          <w:b/>
          <w:lang w:eastAsia="en-US"/>
        </w:rPr>
        <w:t xml:space="preserve"> Систем</w:t>
      </w:r>
      <w:r>
        <w:rPr>
          <w:rFonts w:eastAsia="Calibri"/>
          <w:b/>
          <w:lang w:eastAsia="en-US"/>
        </w:rPr>
        <w:t xml:space="preserve">ы</w:t>
      </w:r>
      <w:r>
        <w:rPr>
          <w:rFonts w:eastAsia="Calibri"/>
          <w:b/>
          <w:lang w:eastAsia="en-US"/>
        </w:rPr>
        <w:t xml:space="preserve"> автоматического пожаротушения </w:t>
      </w:r>
      <w:r>
        <w:rPr>
          <w:rFonts w:eastAsia="Calibri"/>
          <w:b/>
          <w:lang w:eastAsia="en-US"/>
        </w:rPr>
        <w:t xml:space="preserve">трансформаторов (реакторов)</w:t>
      </w:r>
      <w:r>
        <w:rPr>
          <w:rFonts w:eastAsia="Calibri"/>
          <w:b/>
          <w:lang w:val="ru-RU" w:eastAsia="en-US"/>
        </w:rPr>
        <w:t xml:space="preserve"> закрытой установки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rPr>
          <w:rFonts w:eastAsia="Calibri"/>
          <w:lang w:eastAsia="en-US"/>
        </w:rPr>
        <w:t xml:space="preserve">Для защиты автотрансформаторов и реакторов, расположенных в закрытых камерах должны применяться </w:t>
      </w:r>
      <w:r>
        <w:rPr>
          <w:rFonts w:eastAsia="Calibri"/>
          <w:lang w:eastAsia="en-US"/>
        </w:rPr>
        <w:t xml:space="preserve">АУП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примерная схема АУП см. в приложении 3 к настоящ</w:t>
      </w:r>
      <w:r>
        <w:rPr>
          <w:rFonts w:eastAsia="Calibri"/>
          <w:lang w:eastAsia="en-US"/>
        </w:rPr>
        <w:t xml:space="preserve">им</w:t>
      </w:r>
      <w:r>
        <w:rPr>
          <w:rFonts w:eastAsia="Calibri"/>
          <w:lang w:eastAsia="en-US"/>
        </w:rPr>
        <w:t xml:space="preserve"> </w:t>
      </w:r>
      <w:r>
        <w:t xml:space="preserve">Руководящим</w:t>
      </w:r>
      <w:r>
        <w:t xml:space="preserve"> </w:t>
      </w:r>
      <w:r>
        <w:t xml:space="preserve">указаниям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на</w:t>
      </w:r>
      <w:r>
        <w:rPr>
          <w:rFonts w:eastAsia="Calibri"/>
          <w:lang w:eastAsia="en-US"/>
        </w:rPr>
        <w:t xml:space="preserve"> следующих ПС:</w:t>
      </w:r>
      <w:r/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bCs/>
          <w:sz w:val="28"/>
          <w:szCs w:val="28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на ПС 220-330 кВ с един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ичной мощностью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оборудования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200 МВА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(Мвар)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и выше;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bCs/>
          <w:sz w:val="28"/>
          <w:szCs w:val="28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на ПС 110 кВ и выше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с единичной мощностью 63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оборудования 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МВА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 (Мвар)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 и выше</w:t>
      </w:r>
      <w:r>
        <w:rPr>
          <w:rFonts w:eastAsia="Calibri"/>
          <w:bCs/>
          <w:color w:val="000001"/>
          <w:sz w:val="28"/>
          <w:szCs w:val="28"/>
          <w:lang w:eastAsia="en-US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t xml:space="preserve">Расчетное количество (масса) </w:t>
      </w:r>
      <w:r>
        <w:t xml:space="preserve">газового огнетушащего вещества</w:t>
      </w:r>
      <w:r>
        <w:t xml:space="preserve"> </w:t>
      </w:r>
      <w:r>
        <w:t xml:space="preserve">(ГОТВ) </w:t>
      </w:r>
      <w:r>
        <w:t xml:space="preserve">в </w:t>
      </w:r>
      <w:r>
        <w:rPr>
          <w:lang w:val="ru-RU"/>
        </w:rPr>
        <w:t xml:space="preserve">АУП</w:t>
      </w:r>
      <w:r>
        <w:t xml:space="preserve"> должно быть достаточным для обеспечения его нормативной огнетушащей концентрации в любом защищаемом помещении или группе помещений, защищаемых одновременно.</w:t>
      </w:r>
      <w:r/>
    </w:p>
    <w:p>
      <w:pPr>
        <w:pStyle w:val="769"/>
        <w:ind w:left="0" w:firstLine="709"/>
      </w:pPr>
      <w:r>
        <w:t xml:space="preserve">Централизованные </w:t>
      </w:r>
      <w:r>
        <w:rPr>
          <w:lang w:val="ru-RU"/>
        </w:rPr>
        <w:t xml:space="preserve">АУП</w:t>
      </w:r>
      <w:r>
        <w:t xml:space="preserve"> кроме расчетного количества ГОТВ должны иметь его 100</w:t>
      </w:r>
      <w:r>
        <w:t xml:space="preserve"> </w:t>
      </w:r>
      <w:r>
        <w:t xml:space="preserve">%-ный резерв.</w:t>
      </w:r>
      <w:r/>
    </w:p>
    <w:p>
      <w:pPr>
        <w:pStyle w:val="769"/>
        <w:ind w:left="0" w:firstLine="709"/>
      </w:pPr>
      <w:r>
        <w:t xml:space="preserve">Допускается совместное хранение расчетного количества и резерва ГОТВ в изотермическом резервуаре при условии оборудования последнего запорно-пусковым устройством с реверсивным приводом и техническими средствами его управления.</w:t>
      </w:r>
      <w:r/>
    </w:p>
    <w:p>
      <w:pPr>
        <w:pStyle w:val="769"/>
        <w:ind w:left="0" w:firstLine="709"/>
      </w:pPr>
      <w:r>
        <w:t xml:space="preserve">Установка должна обеспечивать инерционность (время срабатывания без учета времени задержки выпуска ГОТВ) не более 15 с.</w:t>
      </w:r>
      <w:r/>
    </w:p>
    <w:p>
      <w:pPr>
        <w:pStyle w:val="769"/>
        <w:ind w:left="0" w:firstLine="709"/>
      </w:pPr>
      <w:r>
        <w:t xml:space="preserve">Установка должна обеспечивать подачу не менее 95</w:t>
      </w:r>
      <w:r>
        <w:t xml:space="preserve"> </w:t>
      </w:r>
      <w:r>
        <w:t xml:space="preserve">% массы ГОТВ, требуемой для создания нормативной огнетушащей концентрации в защищаемом помещении, за временной интервал, не превышающий:</w:t>
      </w:r>
      <w:r/>
    </w:p>
    <w:p>
      <w:pPr>
        <w:pStyle w:val="766"/>
        <w:numPr>
          <w:ilvl w:val="0"/>
          <w:numId w:val="28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 </w:t>
      </w:r>
      <w:r>
        <w:rPr>
          <w:bCs/>
          <w:sz w:val="28"/>
          <w:szCs w:val="28"/>
        </w:rPr>
        <w:t xml:space="preserve">с для модульных установок, в которых в качестве ГОТВ применяются сжиженные газы (кроме двуокиси углерода);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8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</w:t>
      </w:r>
      <w:r>
        <w:rPr>
          <w:bCs/>
          <w:sz w:val="28"/>
          <w:szCs w:val="28"/>
        </w:rPr>
        <w:t xml:space="preserve"> </w:t>
      </w:r>
      <w:r>
        <w:rPr>
          <w:bCs/>
          <w:sz w:val="28"/>
          <w:szCs w:val="28"/>
        </w:rPr>
        <w:t xml:space="preserve">с для централизованных установок, в которых в качестве ГОТВ применяются сжиженные газы (кроме двуокиси углерода);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8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60</w:t>
      </w:r>
      <w:r>
        <w:rPr>
          <w:bCs/>
          <w:sz w:val="28"/>
          <w:szCs w:val="28"/>
        </w:rPr>
        <w:t xml:space="preserve"> </w:t>
      </w:r>
      <w:r>
        <w:rPr>
          <w:bCs/>
          <w:sz w:val="28"/>
          <w:szCs w:val="28"/>
        </w:rPr>
        <w:t xml:space="preserve">с для модульных и централизованных установок, в которых в качестве ГОТВ применяются двуокись углерода или сжатые газы.</w:t>
      </w:r>
      <w:r>
        <w:rPr>
          <w:bCs/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-142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Номинальное значение временного интервала определяется при хранении сосуда с ГОТВ при температуре 20 °C.</w:t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t xml:space="preserve">Помещения, предназначенные для установки трансформаторов, допускается оборудовать самостоятельной (независимой от АУП) </w:t>
      </w:r>
      <w:r>
        <w:t xml:space="preserve">СПС</w:t>
      </w:r>
      <w:r>
        <w:t xml:space="preserve"> для защиты </w:t>
      </w:r>
      <w:r>
        <w:rPr>
          <w:lang w:val="ru-RU"/>
        </w:rPr>
        <w:t xml:space="preserve">данного оборудования от пожара</w:t>
      </w:r>
      <w:r>
        <w:t xml:space="preserve">. В этом случае, </w:t>
      </w:r>
      <w:r>
        <w:t xml:space="preserve">СПС</w:t>
      </w:r>
      <w:r>
        <w:t xml:space="preserve">, смонтированная в данных помещениях, должна выполнять следующие функции:</w:t>
      </w:r>
      <w:r/>
    </w:p>
    <w:p>
      <w:pPr>
        <w:pStyle w:val="766"/>
        <w:numPr>
          <w:ilvl w:val="0"/>
          <w:numId w:val="24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обнаружение загорания в защищаемом помещении;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4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выдача тревожного сообщения в помещение с постоянным пребыванием дежурного персонала;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4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отключение трансформатора и автоматический пуск установки пожаротушения </w:t>
      </w:r>
      <w:r>
        <w:rPr>
          <w:bCs/>
          <w:sz w:val="28"/>
          <w:szCs w:val="28"/>
        </w:rPr>
        <w:t xml:space="preserve">трансформатора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-142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8"/>
        <w:spacing w:line="240" w:lineRule="auto"/>
        <w:rPr>
          <w:b/>
        </w:rPr>
      </w:pPr>
      <w:r>
        <w:rPr>
          <w:rFonts w:eastAsia="Calibri"/>
          <w:b/>
          <w:lang w:eastAsia="en-US"/>
        </w:rPr>
        <w:t xml:space="preserve"> Систем</w:t>
      </w:r>
      <w:r>
        <w:rPr>
          <w:rFonts w:eastAsia="Calibri"/>
          <w:b/>
          <w:lang w:eastAsia="en-US"/>
        </w:rPr>
        <w:t xml:space="preserve">ы</w:t>
      </w:r>
      <w:r>
        <w:rPr>
          <w:rFonts w:eastAsia="Calibri"/>
          <w:b/>
          <w:lang w:eastAsia="en-US"/>
        </w:rPr>
        <w:t xml:space="preserve"> автоматического </w:t>
      </w:r>
      <w:r>
        <w:rPr>
          <w:rFonts w:eastAsia="Calibri"/>
          <w:b/>
          <w:lang w:eastAsia="en-US"/>
        </w:rPr>
        <w:t xml:space="preserve">пожаротушения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проходных кабельных сооружений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Для защиты</w:t>
      </w:r>
      <w:r>
        <w:rPr>
          <w:rFonts w:eastAsia="Calibri"/>
          <w:lang w:eastAsia="en-US"/>
        </w:rPr>
        <w:t xml:space="preserve"> проходных кабельных сооружений </w:t>
      </w:r>
      <w:r>
        <w:rPr>
          <w:rFonts w:eastAsia="Calibri"/>
          <w:lang w:eastAsia="en-US"/>
        </w:rPr>
        <w:t xml:space="preserve">(</w:t>
      </w:r>
      <w:r>
        <w:rPr>
          <w:rFonts w:eastAsia="Calibri"/>
          <w:lang w:eastAsia="en-US"/>
        </w:rPr>
        <w:t xml:space="preserve">туннели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преимущественно </w:t>
      </w:r>
      <w:r>
        <w:rPr>
          <w:rFonts w:eastAsia="Calibri"/>
          <w:lang w:eastAsia="en-US"/>
        </w:rPr>
        <w:t xml:space="preserve">применя</w:t>
      </w:r>
      <w:r>
        <w:rPr>
          <w:rFonts w:eastAsia="Calibri"/>
          <w:lang w:eastAsia="en-US"/>
        </w:rPr>
        <w:t xml:space="preserve">ю</w:t>
      </w:r>
      <w:r>
        <w:rPr>
          <w:rFonts w:eastAsia="Calibri"/>
          <w:lang w:eastAsia="en-US"/>
        </w:rPr>
        <w:t xml:space="preserve">тся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АУВПТ-ТРВ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 Примерная схема </w:t>
      </w:r>
      <w:r>
        <w:rPr>
          <w:rFonts w:eastAsia="Calibri"/>
          <w:lang w:eastAsia="en-US"/>
        </w:rPr>
        <w:t xml:space="preserve">АУВПТ-ТРВ кабельных туннелей</w:t>
      </w:r>
      <w:r>
        <w:rPr>
          <w:rFonts w:eastAsia="Calibri"/>
          <w:lang w:eastAsia="en-US"/>
        </w:rPr>
        <w:t xml:space="preserve"> приведена </w:t>
      </w:r>
      <w:r>
        <w:rPr>
          <w:rFonts w:eastAsia="Calibri"/>
          <w:bCs/>
          <w:lang w:eastAsia="en-US"/>
        </w:rPr>
        <w:t xml:space="preserve">в </w:t>
      </w:r>
      <w:r>
        <w:fldChar w:fldCharType="begin"/>
      </w:r>
      <w:r>
        <w:instrText xml:space="preserve"> HYPERLINK \l "Приложение_4" </w:instrText>
      </w:r>
      <w:r>
        <w:fldChar w:fldCharType="separate"/>
      </w:r>
      <w:r>
        <w:rPr>
          <w:rStyle w:val="861"/>
          <w:rFonts w:eastAsia="Calibri"/>
          <w:bCs/>
          <w:lang w:eastAsia="en-US"/>
        </w:rPr>
        <w:t xml:space="preserve">приложении Г</w:t>
      </w:r>
      <w:r>
        <w:rPr>
          <w:rStyle w:val="861"/>
          <w:rFonts w:eastAsia="Calibri"/>
          <w:bCs/>
          <w:lang w:eastAsia="en-US"/>
        </w:rPr>
        <w:fldChar w:fldCharType="end"/>
      </w:r>
      <w:r>
        <w:rPr>
          <w:rFonts w:eastAsia="Calibri"/>
          <w:lang w:eastAsia="en-US"/>
        </w:rPr>
        <w:t xml:space="preserve"> к настоящ</w:t>
      </w:r>
      <w:r>
        <w:rPr>
          <w:rFonts w:eastAsia="Calibri"/>
          <w:lang w:eastAsia="en-US"/>
        </w:rPr>
        <w:t xml:space="preserve">им</w:t>
      </w:r>
      <w:r>
        <w:rPr>
          <w:rFonts w:eastAsia="Calibri"/>
          <w:lang w:eastAsia="en-US"/>
        </w:rPr>
        <w:t xml:space="preserve"> </w:t>
      </w:r>
      <w:r>
        <w:t xml:space="preserve">Руководящим</w:t>
      </w:r>
      <w:r>
        <w:t xml:space="preserve"> </w:t>
      </w:r>
      <w:r>
        <w:t xml:space="preserve">указаниям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Для автоматического включения насосов, запорно-пусковых устройств АУПВТ-ТРВ при пожаре должны использоваться пожарные извещатели.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t xml:space="preserve"> </w:t>
      </w:r>
      <w:r>
        <w:t xml:space="preserve">При проектировании АУВПТ-ТРВ для тушения проходных кабельных сооружений следует принимать интенсивность орошения не менее 0,015 л/с</w:t>
      </w:r>
      <w:r>
        <w:rPr>
          <w:rFonts w:ascii="Symbol" w:hAnsi="Symbol" w:eastAsia="Symbol" w:cs="Symbol"/>
        </w:rPr>
        <w:t xml:space="preserve">×</w:t>
      </w:r>
      <w:r>
        <w:t xml:space="preserve">м</w:t>
      </w:r>
      <w:r>
        <w:rPr>
          <w:vertAlign w:val="superscript"/>
        </w:rPr>
        <w:t xml:space="preserve">2</w:t>
      </w:r>
      <w: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69"/>
        <w:ind w:left="0" w:firstLine="709"/>
      </w:pPr>
      <w:r>
        <w:t xml:space="preserve"> </w:t>
      </w:r>
      <w:r>
        <w:t xml:space="preserve">Расчетный расход воды АУВПТ-ТРВ для тушения проходных кабельных сооружений принимается по наибольшему расходу, требующемуся на пожаротушение одного защищаемого изолированного отсека кабельного сооружения.</w:t>
      </w:r>
      <w:r/>
    </w:p>
    <w:p>
      <w:pPr>
        <w:pStyle w:val="769"/>
        <w:ind w:left="0" w:firstLine="709"/>
      </w:pPr>
      <w:r>
        <w:t xml:space="preserve"> </w:t>
      </w:r>
      <w:r>
        <w:t xml:space="preserve">Гидравлический расчет трубопроводов АУВПТ-ТРВ для тушения проходных кабельных сооружений следует производить исходя из необходимости обеспечения минимального рабочего давления у наиболее удаленного оросителя.</w:t>
      </w:r>
      <w:r/>
    </w:p>
    <w:p>
      <w:pPr>
        <w:pStyle w:val="769"/>
        <w:ind w:left="0" w:firstLine="709"/>
      </w:pPr>
      <w:r>
        <w:t xml:space="preserve"> </w:t>
      </w:r>
      <w:r>
        <w:t xml:space="preserve">В</w:t>
      </w:r>
      <w:r>
        <w:t xml:space="preserve">ыбор типа оросителей АУВПТ-ТРВ для тушения проходных кабельных сооружений и их размещение в кабельных сооружениях ПС производится из расчета орошения всех кабельных линий и участков пересечения строительных конструкций в соответствии с их картами орошения.</w:t>
      </w:r>
      <w:r/>
    </w:p>
    <w:p>
      <w:pPr>
        <w:pStyle w:val="769"/>
        <w:ind w:left="0" w:firstLine="709"/>
      </w:pPr>
      <w:r>
        <w:t xml:space="preserve"> </w:t>
      </w:r>
      <w:r>
        <w:t xml:space="preserve">Оросители следует устанавливать в прох</w:t>
      </w:r>
      <w:r>
        <w:t xml:space="preserve">одах кабельных сооружений. Кабельные потоки шириной более 0,6 м защищаются оросителями не менее, чем с двух сторон. При высоте кабельных потоков более 4 м следует предусматривать установку оросителей в два яруса (уровня) из расчета один ярус на 4 м высоты.</w:t>
      </w:r>
      <w:r/>
    </w:p>
    <w:p>
      <w:pPr>
        <w:pStyle w:val="769"/>
        <w:ind w:left="0" w:firstLine="709"/>
      </w:pPr>
      <w:r>
        <w:t xml:space="preserve"> Для кабельных сооружений, подлежащих защите АУВПТ-ТРВ, до начала прокладки кабельных линий следует предусматривать опережающий ввод </w:t>
      </w:r>
      <w:r>
        <w:rPr>
          <w:lang w:val="ru-RU"/>
        </w:rPr>
        <w:t xml:space="preserve">АУВПТ-ТРВ </w:t>
      </w:r>
      <w:r>
        <w:t xml:space="preserve">в </w:t>
      </w:r>
      <w:r>
        <w:rPr>
          <w:lang w:val="ru-RU"/>
        </w:rPr>
        <w:t xml:space="preserve">работу в </w:t>
      </w:r>
      <w:r>
        <w:t xml:space="preserve">дистанционном режиме по временной схеме с обеспечением необходимого расхода воды.</w:t>
      </w:r>
      <w:r/>
    </w:p>
    <w:p>
      <w:pPr>
        <w:pStyle w:val="769"/>
        <w:ind w:left="0" w:firstLine="709"/>
      </w:pPr>
      <w:r>
        <w:t xml:space="preserve"> </w:t>
      </w:r>
      <w:r>
        <w:t xml:space="preserve">К периоду сдачи в постоянную эксплуатацию кабельных сооружений установка пожаротушения должна работать в автоматическом режиме по постоянной схеме.</w:t>
      </w:r>
      <w:r/>
    </w:p>
    <w:p>
      <w:pPr>
        <w:pStyle w:val="769"/>
        <w:ind w:left="0" w:firstLine="709"/>
      </w:pPr>
      <w:r>
        <w:t xml:space="preserve"> </w:t>
      </w:r>
      <w:r>
        <w:t xml:space="preserve">Во всех кабельных сооружениях, защищаемых АУВПТ-ТРВ, следует предусматривать систему удаления воды с обязательным выполнением гидроизоляции.</w:t>
      </w:r>
      <w:r/>
    </w:p>
    <w:p>
      <w:pPr>
        <w:pStyle w:val="769"/>
        <w:ind w:left="0" w:firstLine="709"/>
      </w:pPr>
      <w:r>
        <w:t xml:space="preserve"> Допускается не предусматривать гидроизоляцию в кабельных туннелях, галереях и этажах с естественным фунтовым основанием.</w:t>
      </w:r>
      <w:r/>
    </w:p>
    <w:p>
      <w:pPr>
        <w:pStyle w:val="769"/>
        <w:ind w:left="0" w:firstLine="709"/>
      </w:pPr>
      <w:r>
        <w:t xml:space="preserve"> Устройство гидравлических затворов в системе удаления воды не требуется, за исключением кабельных сооружений с маслонаполненными кабелями. Система удаления воды должна предусматриваться из условия непрерывной подачи воды </w:t>
      </w:r>
      <w:r>
        <w:t xml:space="preserve">АУВПТ-ТРВ</w:t>
      </w:r>
      <w:r>
        <w:t xml:space="preserve"> в течение не менее, чем 30 минут.</w:t>
      </w:r>
      <w:r/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spacing w:line="240" w:lineRule="auto"/>
        <w:rPr>
          <w:b/>
        </w:rPr>
      </w:pPr>
      <w:r>
        <w:rPr>
          <w:rFonts w:eastAsia="Calibri"/>
          <w:b/>
          <w:lang w:eastAsia="en-US"/>
        </w:rPr>
        <w:t xml:space="preserve">Системы</w:t>
      </w:r>
      <w:r>
        <w:rPr>
          <w:rFonts w:eastAsia="Calibri"/>
          <w:b/>
          <w:lang w:eastAsia="en-US"/>
        </w:rPr>
        <w:t xml:space="preserve"> автоматического пожаротушения кабельных шахт и пространств </w:t>
      </w:r>
      <w:r>
        <w:rPr>
          <w:rFonts w:eastAsia="Calibri"/>
          <w:b/>
          <w:lang w:eastAsia="en-US"/>
        </w:rPr>
        <w:t xml:space="preserve">под двойными полами и потолками</w:t>
      </w:r>
      <w:r>
        <w:rPr>
          <w:b/>
        </w:rPr>
      </w:r>
      <w:r>
        <w:rPr>
          <w:b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Для защиты </w:t>
      </w:r>
      <w:r>
        <w:rPr>
          <w:rFonts w:eastAsia="Calibri"/>
          <w:lang w:eastAsia="en-US"/>
        </w:rPr>
        <w:t xml:space="preserve">проходных </w:t>
      </w:r>
      <w:r>
        <w:rPr>
          <w:rFonts w:eastAsia="Calibri"/>
          <w:lang w:eastAsia="en-US"/>
        </w:rPr>
        <w:t xml:space="preserve">кабельных шахт и пространств под двойными полами и потолками при прокладке кабелей (проводов) типа НГ должны </w:t>
      </w:r>
      <w:r>
        <w:rPr>
          <w:rFonts w:eastAsia="Calibri"/>
          <w:lang w:eastAsia="en-US"/>
        </w:rPr>
        <w:t xml:space="preserve">защищаться системами автоматической противопожарной защиты следующим образом: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92"/>
        <w:numPr>
          <w:ilvl w:val="0"/>
          <w:numId w:val="30"/>
        </w:numPr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134" w:leader="none"/>
          <w:tab w:val="left" w:pos="1701" w:leader="none"/>
        </w:tabs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если объем горючей массы кабелей и проводов, проложенных в </w:t>
      </w:r>
      <w:r>
        <w:rPr>
          <w:rFonts w:eastAsia="Calibri"/>
          <w:bCs/>
          <w:sz w:val="28"/>
          <w:szCs w:val="28"/>
          <w:lang w:eastAsia="en-US"/>
        </w:rPr>
        <w:t xml:space="preserve">пространстве под двойными полами, превышает установ</w:t>
      </w:r>
      <w:r>
        <w:rPr>
          <w:rFonts w:eastAsia="Calibri"/>
          <w:bCs/>
          <w:sz w:val="28"/>
          <w:szCs w:val="28"/>
          <w:lang w:eastAsia="en-US"/>
        </w:rPr>
        <w:t xml:space="preserve">ленное предельное значение (7 литров на погонный метр</w:t>
      </w:r>
      <w:r>
        <w:rPr>
          <w:rFonts w:eastAsia="Calibri"/>
          <w:bCs/>
          <w:sz w:val="28"/>
          <w:szCs w:val="28"/>
          <w:lang w:eastAsia="en-US"/>
        </w:rPr>
        <w:t xml:space="preserve"> и более), указанное пространство необходимо оборудовать автоматическими установками пожаротушения;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pStyle w:val="792"/>
        <w:numPr>
          <w:ilvl w:val="0"/>
          <w:numId w:val="30"/>
        </w:numPr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134" w:leader="none"/>
          <w:tab w:val="left" w:pos="1701" w:leader="none"/>
        </w:tabs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если объем горючей массы кабелей и проводов, проложенных в пространстве под двойными полами, не превышает установленное предельное значение (от 1,5 до 7 </w:t>
      </w:r>
      <w:r>
        <w:rPr>
          <w:rFonts w:eastAsia="Calibri"/>
          <w:bCs/>
          <w:sz w:val="28"/>
          <w:szCs w:val="28"/>
          <w:lang w:eastAsia="en-US"/>
        </w:rPr>
        <w:t xml:space="preserve">литров на погонный метр</w:t>
      </w:r>
      <w:r>
        <w:rPr>
          <w:rFonts w:eastAsia="Calibri"/>
          <w:bCs/>
          <w:sz w:val="28"/>
          <w:szCs w:val="28"/>
          <w:lang w:eastAsia="en-US"/>
        </w:rPr>
        <w:t xml:space="preserve">), указанное пространство достаточно оборудовать системой автоматической пожарной сигнализации</w:t>
      </w:r>
      <w:r>
        <w:rPr>
          <w:rFonts w:eastAsia="Calibri"/>
          <w:bCs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Для автоматического включения системы АУГПТ при пожаре должны использоваться пожарные извещатели.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Установки кроме расчетного количества ГОТВ должны иметь его 100</w:t>
      </w:r>
      <w:r>
        <w:rPr>
          <w:rFonts w:eastAsia="Calibri"/>
          <w:lang w:eastAsia="en-US"/>
        </w:rPr>
        <w:t xml:space="preserve"> </w:t>
      </w:r>
      <w:r>
        <w:rPr>
          <w:rFonts w:eastAsia="Calibri"/>
          <w:lang w:eastAsia="en-US"/>
        </w:rPr>
        <w:t xml:space="preserve">%-ный запас.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При наличии на объекте нескольких модульных установок запас предусматривается в объеме, достаточном для восстановления работоспособности установки, сработавшей в любом из защищаемых помещений объекта.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Запас следует хранить в модулях, аналогичных модулям установок. Модули с запасом должны быть подготовлены к монтажу в установки.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Установка должна обеспечивать инерционность (время срабатывания без учета времени задержки выпуска ГОТВ) не более 15 с.</w:t>
      </w:r>
      <w:r>
        <w:rPr>
          <w:rFonts w:eastAsia="Calibri"/>
          <w:lang w:eastAsia="en-US"/>
        </w:rPr>
      </w:r>
    </w:p>
    <w:p>
      <w:pPr>
        <w:pStyle w:val="769"/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Установка должна обеспечивать подачу не менее 95% массы ГОТВ, требуемой для создания нормативной огнетушащей концентрации в защищаемом помещении, за временной интервал, не превышающий:</w:t>
      </w:r>
      <w:r>
        <w:rPr>
          <w:rFonts w:eastAsia="Calibri"/>
          <w:lang w:eastAsia="en-US"/>
        </w:rPr>
      </w:r>
    </w:p>
    <w:p>
      <w:pPr>
        <w:pStyle w:val="766"/>
        <w:numPr>
          <w:ilvl w:val="0"/>
          <w:numId w:val="27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 </w:t>
      </w:r>
      <w:r>
        <w:rPr>
          <w:bCs/>
          <w:sz w:val="28"/>
          <w:szCs w:val="28"/>
        </w:rPr>
        <w:t xml:space="preserve">с для модульных установок, в которых в качестве ГОТВ применяются сжиженные газы (кроме двуокиси углерода);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7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 с для централизованных установок, в которых в качестве ГОТВ применяются сжиженные газы (кроме двуокиси углерода);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7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60 с для модульных и централизованных установок, в которых в качестве ГОТВ применяются двуокись углерода или сжатые газы.</w:t>
      </w:r>
      <w:r>
        <w:rPr>
          <w:bCs/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-142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Номинальное значение временного интервала определяется при хранении сосуда с ГОТВ при температуре 20 °C.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</w:p>
    <w:p>
      <w:pPr>
        <w:pStyle w:val="768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Роботизированные установки пожаротушения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rFonts w:eastAsia="Calibri"/>
          <w:b/>
          <w:sz w:val="28"/>
          <w:lang w:eastAsia="en-US"/>
        </w:rPr>
      </w:pPr>
      <w:r>
        <w:rPr>
          <w:rFonts w:eastAsia="Calibri"/>
          <w:b/>
          <w:sz w:val="28"/>
          <w:lang w:eastAsia="en-US"/>
        </w:rPr>
      </w:r>
      <w:r>
        <w:rPr>
          <w:rFonts w:eastAsia="Calibri"/>
          <w:b/>
          <w:sz w:val="28"/>
          <w:lang w:eastAsia="en-US"/>
        </w:rPr>
      </w:r>
    </w:p>
    <w:p>
      <w:pPr>
        <w:pStyle w:val="769"/>
        <w:ind w:left="0" w:firstLine="709"/>
        <w:rPr>
          <w:rFonts w:eastAsia="Calibri"/>
          <w:bCs/>
          <w:color w:val="000001"/>
          <w:lang w:eastAsia="en-US"/>
        </w:rPr>
      </w:pPr>
      <w:r>
        <w:rPr>
          <w:rFonts w:eastAsia="Calibri"/>
          <w:bCs/>
          <w:color w:val="000001"/>
          <w:lang w:eastAsia="en-US"/>
        </w:rPr>
        <w:t xml:space="preserve">При проектировании РУП необходимо руководствоваться требованиями </w:t>
      </w:r>
      <w:r>
        <w:fldChar w:fldCharType="begin"/>
      </w:r>
      <w:r>
        <w:instrText xml:space="preserve"> HYPERLINK "kodeks://link/d?nd=</w:instrText>
      </w:r>
      <w:r>
        <w:instrText xml:space="preserve">1200071926" \o "\"ГОСТ Р 53326-2009 Техника пожарная. Установки пожаротушения ...\"(утв. приказом Росстандарта от 18.02.2009 N 102-ст)Применяется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rFonts w:eastAsia="Calibri"/>
          <w:bCs/>
          <w:color w:val="0000aa"/>
          <w:lang w:eastAsia="en-US"/>
        </w:rPr>
        <w:t xml:space="preserve">ГОСТ Р 53326</w:t>
      </w:r>
      <w:r>
        <w:rPr>
          <w:rStyle w:val="861"/>
          <w:rFonts w:eastAsia="Calibri"/>
          <w:bCs/>
          <w:color w:val="0000aa"/>
          <w:lang w:eastAsia="en-US"/>
        </w:rPr>
        <w:t xml:space="preserve">-2009</w:t>
      </w:r>
      <w:r>
        <w:rPr>
          <w:rStyle w:val="861"/>
          <w:rFonts w:eastAsia="Calibri"/>
          <w:bCs/>
          <w:color w:val="0000aa"/>
          <w:lang w:eastAsia="en-US"/>
        </w:rPr>
        <w:fldChar w:fldCharType="end"/>
      </w:r>
      <w:r>
        <w:rPr>
          <w:rFonts w:eastAsia="Calibri"/>
          <w:bCs/>
          <w:color w:val="000001"/>
          <w:lang w:eastAsia="en-US"/>
        </w:rPr>
        <w:t xml:space="preserve">.</w:t>
      </w:r>
      <w:r>
        <w:rPr>
          <w:rFonts w:eastAsia="Calibri"/>
          <w:bCs/>
          <w:color w:val="000001"/>
          <w:lang w:eastAsia="en-US"/>
        </w:rPr>
      </w:r>
    </w:p>
    <w:p>
      <w:pPr>
        <w:pStyle w:val="769"/>
        <w:ind w:left="0" w:firstLine="709"/>
      </w:pPr>
      <w:r>
        <w:rPr>
          <w:lang w:val="ru-RU"/>
        </w:rPr>
        <w:t xml:space="preserve">Применение</w:t>
      </w:r>
      <w:r>
        <w:t xml:space="preserve"> РУП </w:t>
      </w:r>
      <w:r>
        <w:rPr>
          <w:lang w:val="ru-RU"/>
        </w:rPr>
        <w:t xml:space="preserve">допускается только </w:t>
      </w:r>
      <w:r>
        <w:t xml:space="preserve"> при наличии сертификатов соответствия на РУП и на технические средства РУП</w:t>
      </w:r>
      <w:r>
        <w:t xml:space="preserve"> </w:t>
      </w:r>
      <w:r>
        <w:t xml:space="preserve">по </w:t>
      </w:r>
      <w:r>
        <w:fldChar w:fldCharType="begin"/>
      </w:r>
      <w:r>
        <w:instrText xml:space="preserve"> HYPERLINK "kodeks://link/d?nd=</w:instrText>
      </w:r>
      <w:r>
        <w:instrText xml:space="preserve">1200071926" \o "\"ГОСТ Р 53326-2009 Техника пожарная. Установки пожаротушения ...\"(утв. приказом Росстандарта от 18.02.2009 N 102-ст)Применяется с 01.05.2009Статус: действующая редакция (действ. с 01.05.2009)Применяется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Р 53326-2009</w:t>
      </w:r>
      <w:r>
        <w:rPr>
          <w:rStyle w:val="861"/>
          <w:color w:val="0000aa"/>
        </w:rPr>
        <w:fldChar w:fldCharType="end"/>
      </w:r>
      <w:r>
        <w:t xml:space="preserve">.</w:t>
      </w:r>
      <w:r/>
    </w:p>
    <w:p>
      <w:pPr>
        <w:pStyle w:val="769"/>
        <w:ind w:left="0" w:firstLine="709"/>
      </w:pPr>
      <w:r>
        <w:t xml:space="preserve">РУП должна включать в себя:</w:t>
      </w:r>
      <w:r/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rFonts w:eastAsia="Calibri"/>
          <w:bCs/>
          <w:color w:val="000001"/>
          <w:sz w:val="28"/>
          <w:szCs w:val="28"/>
          <w:lang w:eastAsia="en-US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не менее двух ПРС-С;</w:t>
      </w:r>
      <w:r>
        <w:rPr>
          <w:rFonts w:eastAsia="Calibri"/>
          <w:bCs/>
          <w:color w:val="000001"/>
          <w:sz w:val="28"/>
          <w:szCs w:val="28"/>
          <w:lang w:eastAsia="en-US"/>
        </w:rPr>
      </w:r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rFonts w:eastAsia="Calibri"/>
          <w:bCs/>
          <w:color w:val="000001"/>
          <w:sz w:val="28"/>
          <w:szCs w:val="28"/>
          <w:lang w:eastAsia="en-US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систему управления;</w:t>
      </w:r>
      <w:r>
        <w:rPr>
          <w:rFonts w:eastAsia="Calibri"/>
          <w:bCs/>
          <w:color w:val="000001"/>
          <w:sz w:val="28"/>
          <w:szCs w:val="28"/>
          <w:lang w:eastAsia="en-US"/>
        </w:rPr>
      </w:r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rFonts w:eastAsia="Calibri"/>
          <w:bCs/>
          <w:color w:val="000001"/>
          <w:sz w:val="28"/>
          <w:szCs w:val="28"/>
          <w:lang w:eastAsia="en-US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запорно-пусковые устройства с электроприводом;</w:t>
      </w:r>
      <w:r>
        <w:rPr>
          <w:rFonts w:eastAsia="Calibri"/>
          <w:bCs/>
          <w:color w:val="000001"/>
          <w:sz w:val="28"/>
          <w:szCs w:val="28"/>
          <w:lang w:eastAsia="en-US"/>
        </w:rPr>
      </w:r>
    </w:p>
    <w:p>
      <w:pPr>
        <w:pStyle w:val="766"/>
        <w:numPr>
          <w:ilvl w:val="0"/>
          <w:numId w:val="25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851" w:leader="none"/>
        </w:tabs>
        <w:rPr>
          <w:rFonts w:eastAsia="Calibri"/>
          <w:bCs/>
          <w:color w:val="000001"/>
          <w:sz w:val="28"/>
          <w:szCs w:val="28"/>
          <w:lang w:eastAsia="en-US"/>
        </w:rPr>
      </w:pPr>
      <w:r>
        <w:rPr>
          <w:rFonts w:eastAsia="Calibri"/>
          <w:bCs/>
          <w:color w:val="000001"/>
          <w:sz w:val="28"/>
          <w:szCs w:val="28"/>
          <w:lang w:eastAsia="en-US"/>
        </w:rPr>
        <w:t xml:space="preserve">информационные каналы связи.</w:t>
      </w:r>
      <w:r>
        <w:rPr>
          <w:rFonts w:eastAsia="Calibri"/>
          <w:bCs/>
          <w:color w:val="000001"/>
          <w:sz w:val="28"/>
          <w:szCs w:val="28"/>
          <w:lang w:eastAsia="en-US"/>
        </w:rPr>
      </w:r>
    </w:p>
    <w:p>
      <w:pPr>
        <w:pStyle w:val="769"/>
        <w:ind w:left="0" w:firstLine="709"/>
      </w:pPr>
      <w:r>
        <w:t xml:space="preserve">ПРС-С предназначен для формирования и направления сплошной или распыленной струи ОТВ к очагу пожара либо для охлаждения технологического оборудования и строительных конструкций.</w:t>
      </w:r>
      <w:r/>
    </w:p>
    <w:p>
      <w:pPr>
        <w:pStyle w:val="769"/>
        <w:ind w:left="0" w:firstLine="709"/>
      </w:pPr>
      <w:r>
        <w:t xml:space="preserve">В качестве огнетушащего вещества может использоваться вода, вода с добавками или пена.</w:t>
      </w:r>
      <w:r/>
    </w:p>
    <w:p>
      <w:pPr>
        <w:pStyle w:val="769"/>
        <w:ind w:left="0" w:firstLine="709"/>
      </w:pPr>
      <w:r>
        <w:t xml:space="preserve">Алгоритм совместного взаимодействия ПРС-С</w:t>
      </w:r>
      <w:r>
        <w:t xml:space="preserve">, объединенных в РУП, и количество ПРС-С, одновременно задействованных в рабочем режиме (режиме подачи огнетушащего вещества), принимаются с учетом архитектурно-планировочных решений защищаемого помещения и размещенного в нем технологического оборудования.</w:t>
      </w:r>
      <w:r/>
    </w:p>
    <w:p>
      <w:pPr>
        <w:pStyle w:val="769"/>
        <w:ind w:left="0" w:firstLine="709"/>
      </w:pPr>
      <w:r>
        <w:t xml:space="preserve">ПРС-С должен осуществлять функционирование в следующих режимах:</w:t>
      </w:r>
      <w:r/>
    </w:p>
    <w:p>
      <w:pPr>
        <w:pStyle w:val="769"/>
        <w:ind w:left="0" w:firstLine="709"/>
      </w:pPr>
      <w:r>
        <w:t xml:space="preserve"> Алгоритм обнаружения очага пожара и наведения на него ПРС-С должен соответствовать технической документации организации-изготовителя с учетом конкретных условий объекта защиты.</w:t>
      </w:r>
      <w:r/>
    </w:p>
    <w:p>
      <w:pPr>
        <w:pStyle w:val="769"/>
        <w:ind w:left="0" w:firstLine="709"/>
      </w:pPr>
      <w:r>
        <w:t xml:space="preserve">Каждая точка помещения или защищаемого оборудования должна находиться в зоне действия не менее двух ПРС-С. При отсутствии выполнения данного условия незащищенная зона должна быть защищена другими видами АУП.</w:t>
      </w:r>
      <w:r/>
    </w:p>
    <w:p>
      <w:pPr>
        <w:pStyle w:val="769"/>
        <w:ind w:left="0" w:firstLine="709"/>
      </w:pPr>
      <w:r>
        <w:t xml:space="preserve">Расстановка ПРС-С должна исключать незащищенные зоны для автоматических извещателей наведения, а также незащищенные зоны, не подверженные действию ОТВ. Допускается защита этих зон другими техническими средствами различного вида АУП.</w:t>
      </w:r>
      <w:r/>
    </w:p>
    <w:p>
      <w:pPr>
        <w:pStyle w:val="769"/>
        <w:ind w:left="0" w:firstLine="709"/>
      </w:pPr>
      <w:r>
        <w:t xml:space="preserve">При монтаже ПРС-С на площадке на высоте свыше 1000 мм от уровня отметки пола эта площадка должна быть оборудована ограждением для обеспечения безопасности обслуживающего персонала.</w:t>
      </w:r>
      <w:r/>
    </w:p>
    <w:p>
      <w:pPr>
        <w:pStyle w:val="769"/>
        <w:ind w:left="0" w:firstLine="709"/>
      </w:pPr>
      <w:r>
        <w:t xml:space="preserve"> Доступ к оборудованию ПРС-С должен быть удобным и безопасным.</w:t>
      </w:r>
      <w:r/>
    </w:p>
    <w:p>
      <w:pPr>
        <w:pStyle w:val="769"/>
        <w:ind w:left="0" w:firstLine="709"/>
      </w:pPr>
      <w:r>
        <w:t xml:space="preserve"> Место размещения ПРС-С не должно иметь препятствий для поворота его пожарного ствола в горизонтальной и вертикальной плоскостях с учетом длины ствола и диапазона углов перемещения.</w:t>
      </w:r>
      <w:r/>
    </w:p>
    <w:p>
      <w:pPr>
        <w:pStyle w:val="769"/>
        <w:ind w:left="0" w:firstLine="709"/>
      </w:pPr>
      <w:r>
        <w:t xml:space="preserve">Перемещение ПРС-С для поиска очага загорания должно осуществляться по сигналу от автоматических пожарных извещателей общего обзора или от зонных автоматических пожарных извещателей пламени.</w:t>
      </w:r>
      <w:r/>
    </w:p>
    <w:p>
      <w:pPr>
        <w:pStyle w:val="769"/>
        <w:ind w:left="0" w:firstLine="709"/>
      </w:pPr>
      <w:r>
        <w:t xml:space="preserve">Позиционное или контурное программное сканирование с подачей ОТВ в пределах угловых координат загорания должно осуществляться по сигналу от автоматического извещателя наведения, установленного на ПРС-С, или по заранее спланированной программе.</w:t>
      </w:r>
      <w:r/>
    </w:p>
    <w:p>
      <w:pPr>
        <w:pStyle w:val="769"/>
        <w:ind w:left="0" w:firstLine="709"/>
      </w:pPr>
      <w:r>
        <w:t xml:space="preserve">Общий расход огнетушащего вещества и продолжительность непрерывной работы РУП должны быть не менее указанных в </w:t>
      </w:r>
      <w:r/>
    </w:p>
    <w:p>
      <w:pPr>
        <w:pStyle w:val="769"/>
        <w:ind w:left="0" w:firstLine="709"/>
      </w:pPr>
      <w:r>
        <w:t xml:space="preserve">Общий расход РУП следует уточнять с учетом количества ПРС-С, одновременно задействованных в рабочем режиме, гидравлических потерь в питающем трубопроводе, характера и величины пожарной нагрузки, технологических особенностей объекта, группы помещений </w:t>
      </w:r>
      <w:r/>
    </w:p>
    <w:p>
      <w:pPr>
        <w:pStyle w:val="769"/>
        <w:ind w:left="0" w:firstLine="709"/>
      </w:pPr>
      <w:r>
        <w:t xml:space="preserve">Программное сканирование для каждого ПРС-С должно обес</w:t>
      </w:r>
      <w:r>
        <w:t xml:space="preserve">печивать корректировку угла возвышения ствола с целью учета баллистики струи в зависимости от давления на выходе ствола и расстояния до очага пожара. При этом ПРС-С должен измерять текущее давление и выбирать значение поправки вертикального угла наведения.</w:t>
      </w:r>
      <w:r/>
    </w:p>
    <w:p>
      <w:pPr>
        <w:pStyle w:val="769"/>
        <w:ind w:left="0" w:firstLine="709"/>
      </w:pPr>
      <w:r>
        <w:t xml:space="preserve">Трубопроводы РУП должны обеспечивать прочность при пробном давлении Pп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3844" cy="152451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>
                          <a:extLst>
                            <a:ext uri="{96DAC541-7B7A-43D3-8B79-37D633B846F1}">
                              <asvg:svgBlip xmlns:asvg="http://schemas.microsoft.com/office/drawing/2016/SVG/main" r:embed="rId1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3843" cy="152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9.75pt;height:12.00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t xml:space="preserve"> 1,25</w:t>
      </w:r>
      <w:r>
        <w:t xml:space="preserve"> </w:t>
      </w:r>
      <w:r>
        <w:t xml:space="preserve">Pраб. макс, но не менее 1,25 МПа, а герметичность - при </w:t>
      </w:r>
      <w:r>
        <w:br w:type="textWrapping" w:clear="all"/>
      </w:r>
      <w:r>
        <w:t xml:space="preserve">Pг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3844" cy="152451"/>
                <wp:effectExtent l="0" t="0" r="0" b="0"/>
                <wp:docPr id="2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3843" cy="152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.75pt;height:12.00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t xml:space="preserve"> Pраб. макс, но не менее 1 МПа.</w:t>
      </w:r>
      <w:r/>
    </w:p>
    <w:p>
      <w:pPr>
        <w:pStyle w:val="769"/>
        <w:ind w:left="0" w:firstLine="709"/>
      </w:pPr>
      <w:r>
        <w:t xml:space="preserve">ПРС-С и все блоки управления, находящиеся под напряжением более 24 В, должны иметь клемму и знак заземления. Знак заземления и место клеммы должны соответствовать </w:t>
      </w:r>
      <w:r>
        <w:t xml:space="preserve">требованиям </w:t>
      </w:r>
      <w:r>
        <w:fldChar w:fldCharType="begin"/>
      </w:r>
      <w:r>
        <w:instrText xml:space="preserve"> HYPERLINK "kode</w:instrText>
      </w:r>
      <w:r>
        <w:instrText xml:space="preserve">ks://link/d?nd=5200289" \o "\"ГОСТ 12.1.030-81 Система стандартов безопасности труда (ССБТ) ...\"(утв. постановлением Госстандарта СССР от 15.05.1981 N 2404)Применяется с 01.07.1982Статус: действующая редакцияПрименяется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12.1.030</w:t>
      </w:r>
      <w:r>
        <w:rPr>
          <w:rStyle w:val="861"/>
          <w:color w:val="0000aa"/>
        </w:rPr>
        <w:t xml:space="preserve">-81</w:t>
      </w:r>
      <w:r>
        <w:rPr>
          <w:rStyle w:val="861"/>
          <w:color w:val="0000aa"/>
        </w:rPr>
        <w:fldChar w:fldCharType="end"/>
      </w:r>
      <w:r>
        <w:t xml:space="preserve">.</w:t>
      </w:r>
      <w:r/>
    </w:p>
    <w:p>
      <w:pPr>
        <w:pStyle w:val="769"/>
        <w:ind w:left="0" w:firstLine="709"/>
      </w:pPr>
      <w:r>
        <w:t xml:space="preserve">ПРС-С, их пульты и блоки управления, запорно-пусковые устройства с электроприводом, пожарные извещатели общего обзора и зонные пожарные извещатели должны быть окрашены в красный цвет по </w:t>
      </w:r>
      <w:r>
        <w:fldChar w:fldCharType="begin"/>
      </w:r>
      <w:r>
        <w:instrText xml:space="preserve"> HYPERLINK "kodeks://link/d?nd=1200</w:instrText>
      </w:r>
      <w:r>
        <w:instrText xml:space="preserve">136061" \o "\"ГОСТ 12.4.026-2015 Система стандартов безопасности труда (ССБТ). Цвета ...\"(утв. приказом Росстандарта от 10.06.2016 N 614-ст)Применяется с ...Статус: действующая редакция (действ. с 01.01.2021)Применяется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12.4.026</w:t>
      </w:r>
      <w:r>
        <w:rPr>
          <w:rStyle w:val="861"/>
          <w:color w:val="0000aa"/>
        </w:rPr>
        <w:t xml:space="preserve">-2015</w:t>
      </w:r>
      <w:r>
        <w:rPr>
          <w:rStyle w:val="861"/>
          <w:color w:val="0000aa"/>
        </w:rPr>
        <w:fldChar w:fldCharType="end"/>
      </w:r>
      <w:r>
        <w:t xml:space="preserve">, </w:t>
      </w:r>
      <w:r>
        <w:fldChar w:fldCharType="begin"/>
      </w:r>
      <w:r>
        <w:instrText xml:space="preserve"> HYPERLINK "kodeks://link/d?nd=</w:instrText>
      </w:r>
      <w:r>
        <w:instrText xml:space="preserve">1200006830" \o "\"ГОСТ Р 50680-94 Установки водяного пожаротушения автоматические. Общие ...\"(утв. постановлением Госстандарта России от 20.06.1994 N 175)Применяется с 01.01.1995Статус: действует с 01.01.1995Применяется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Р 50680</w:t>
      </w:r>
      <w:r>
        <w:rPr>
          <w:rStyle w:val="861"/>
          <w:color w:val="0000aa"/>
        </w:rPr>
        <w:t xml:space="preserve">-94</w:t>
      </w:r>
      <w:r>
        <w:rPr>
          <w:rStyle w:val="861"/>
          <w:color w:val="0000aa"/>
        </w:rPr>
        <w:fldChar w:fldCharType="end"/>
      </w:r>
      <w:r>
        <w:t xml:space="preserve"> и </w:t>
      </w:r>
      <w:r>
        <w:fldChar w:fldCharType="begin"/>
      </w:r>
      <w:r>
        <w:instrText xml:space="preserve"> HYPERLINK "kodeks://link/d?nd=1200</w:instrText>
      </w:r>
      <w:r>
        <w:instrText xml:space="preserve">006829" \o "\"ГОСТ Р 50800-95 Установки пенного пожаротушения автоматические. Общие технические ...\"(утв. постановлением Госстандарта России от 05.07.1995 N 347)Применяется с ...Статус: действует с 01.01.1996Применяется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Р 50800</w:t>
      </w:r>
      <w:r>
        <w:rPr>
          <w:rStyle w:val="861"/>
          <w:color w:val="0000aa"/>
        </w:rPr>
        <w:t xml:space="preserve">-95</w:t>
      </w:r>
      <w:r>
        <w:rPr>
          <w:rStyle w:val="861"/>
          <w:color w:val="0000aa"/>
        </w:rPr>
        <w:fldChar w:fldCharType="end"/>
      </w:r>
      <w:r>
        <w:t xml:space="preserve">.</w:t>
      </w:r>
      <w:r/>
    </w:p>
    <w:p>
      <w:pPr>
        <w:pStyle w:val="766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spacing w:line="240" w:lineRule="auto"/>
        <w:rPr>
          <w:b/>
        </w:rPr>
      </w:pPr>
      <w:r>
        <w:rPr>
          <w:b/>
        </w:rPr>
        <w:t xml:space="preserve"> Установки пожаротушения тонкораспыленной водой</w:t>
      </w:r>
      <w:r>
        <w:rPr>
          <w:b/>
        </w:rPr>
      </w:r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 </w:t>
      </w:r>
      <w:r>
        <w:t xml:space="preserve">АУП-ТРВ применяются для поверхностного, локально-поверхностного и локально-объемного тушения очагов </w:t>
      </w:r>
      <w:r>
        <w:t xml:space="preserve">пожара классов A, B </w:t>
      </w:r>
      <w:r>
        <w:t xml:space="preserve">по </w:t>
      </w:r>
      <w:r>
        <w:fldChar w:fldCharType="begin"/>
      </w:r>
      <w:r>
        <w:instrText xml:space="preserve"> HYPERLINK "kodeks://link</w:instrText>
      </w:r>
      <w:r>
        <w:instrText xml:space="preserve">/d?nd=1200001394" \o "\"ГОСТ 27331-87 (СТ СЭВ 5637-86) Пожарная техника. Классификация пожаров.\"(утв. постановлением Госстандарта СССР от 23.06.1987 N 2246)Применяется с 01.01.1988Статус: действующая редакцияПрименяется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27331</w:t>
      </w:r>
      <w:r>
        <w:rPr>
          <w:rStyle w:val="861"/>
          <w:color w:val="0000aa"/>
        </w:rPr>
        <w:t xml:space="preserve">-87</w:t>
      </w:r>
      <w:r>
        <w:rPr>
          <w:rStyle w:val="861"/>
          <w:color w:val="0000aa"/>
        </w:rPr>
        <w:fldChar w:fldCharType="end"/>
      </w:r>
      <w:r>
        <w:rPr>
          <w:rStyle w:val="861"/>
          <w:color w:val="0000aa"/>
        </w:rPr>
        <w:t xml:space="preserve"> </w:t>
      </w:r>
      <w:r>
        <w:rPr>
          <w:rStyle w:val="861"/>
          <w:color w:val="0000aa"/>
        </w:rPr>
        <w:t xml:space="preserve">(СТ СЭВ 5637-86)</w:t>
      </w:r>
      <w:r>
        <w:t xml:space="preserve"> и электроустановок под напряжением не выше указанного в ТД на данный вид АУП-ТРВ.</w:t>
      </w:r>
      <w:r/>
    </w:p>
    <w:p>
      <w:pPr>
        <w:pStyle w:val="769"/>
        <w:ind w:left="0" w:firstLine="709"/>
      </w:pPr>
      <w:r>
        <w:t xml:space="preserve"> </w:t>
      </w:r>
      <w:r>
        <w:t xml:space="preserve">АУП-ТРВ подразделяются:</w:t>
      </w:r>
      <w:r>
        <w:t xml:space="preserve"> </w:t>
      </w:r>
      <w:r/>
    </w:p>
    <w:p>
      <w:pPr>
        <w:pStyle w:val="76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давлению в диктующем р</w:t>
      </w:r>
      <w:r>
        <w:rPr>
          <w:sz w:val="28"/>
          <w:szCs w:val="28"/>
        </w:rPr>
        <w:t xml:space="preserve">аспылителе или в корпусе модуля</w:t>
      </w:r>
      <w:r>
        <w:rPr>
          <w:sz w:val="28"/>
          <w:szCs w:val="28"/>
        </w:rPr>
        <w:t xml:space="preserve"> на:</w:t>
      </w:r>
      <w:r>
        <w:rPr>
          <w:sz w:val="28"/>
          <w:szCs w:val="28"/>
        </w:rPr>
      </w:r>
    </w:p>
    <w:p>
      <w:pPr>
        <w:pStyle w:val="766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низкого давления - до 2 МПа включительно (АУП ТРВ НД);</w:t>
      </w:r>
      <w:r>
        <w:rPr>
          <w:sz w:val="28"/>
          <w:szCs w:val="28"/>
        </w:rPr>
      </w:r>
    </w:p>
    <w:p>
      <w:pPr>
        <w:pStyle w:val="766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высокого давления - более 2 МПа (АУП ТРВ ВД),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конструктивному исполнению</w:t>
      </w:r>
      <w:r>
        <w:rPr>
          <w:sz w:val="28"/>
          <w:szCs w:val="28"/>
        </w:rPr>
        <w:t xml:space="preserve"> на:</w:t>
      </w:r>
      <w:r>
        <w:rPr>
          <w:sz w:val="28"/>
          <w:szCs w:val="28"/>
        </w:rPr>
      </w:r>
    </w:p>
    <w:p>
      <w:pPr>
        <w:pStyle w:val="766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модульного типа (АУП ТРВ МТ);</w:t>
      </w:r>
      <w:r>
        <w:rPr>
          <w:sz w:val="28"/>
          <w:szCs w:val="28"/>
        </w:rPr>
      </w:r>
    </w:p>
    <w:p>
      <w:pPr>
        <w:pStyle w:val="766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агрегатного типа (АУП ТРВ АТ).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Каждый распылитель должен быть снабжен фильтрующим элементом по </w:t>
      </w:r>
      <w:r>
        <w:fldChar w:fldCharType="begin"/>
      </w:r>
      <w:r>
        <w:instrText xml:space="preserve"> HYPERLINK "kodeks://link/d?nd=1200030</w:instrText>
      </w:r>
      <w:r>
        <w:instrText xml:space="preserve">317" \o "\"ГОСТ Р 51043-2002 Установки водяного и пенного пожаротушения ...\"(утв. постановлением Госстандарта России от 25.07.2002 N 287-ст)Применяется с ...Статус: действующая редакция (действ. с 01.02.2020)Применяется для целей технического регламента" </w:instrText>
      </w:r>
      <w:r>
        <w:fldChar w:fldCharType="separate"/>
      </w:r>
      <w:r>
        <w:rPr>
          <w:rStyle w:val="861"/>
          <w:color w:val="0000aa"/>
        </w:rPr>
        <w:t xml:space="preserve">ГОСТ Р 51043</w:t>
      </w:r>
      <w:r>
        <w:rPr>
          <w:rStyle w:val="861"/>
          <w:color w:val="0000aa"/>
        </w:rPr>
        <w:t xml:space="preserve">-2002</w:t>
      </w:r>
      <w:r>
        <w:rPr>
          <w:rStyle w:val="861"/>
          <w:color w:val="0000aa"/>
        </w:rPr>
        <w:fldChar w:fldCharType="end"/>
      </w:r>
      <w:r>
        <w:t xml:space="preserve"> или иметь конструктивное исполнение, исключающее засорение его проходного канала.</w:t>
      </w:r>
      <w:r/>
    </w:p>
    <w:p>
      <w:pPr>
        <w:pStyle w:val="769"/>
        <w:ind w:left="0" w:firstLine="709"/>
      </w:pPr>
      <w:r>
        <w:t xml:space="preserve"> </w:t>
      </w:r>
      <w:r>
        <w:t xml:space="preserve">Трубопроводы АУП-ТРВ НД следует выполнять из оцинкованной стали, а для АУП ТРВ ВД - из нержавеющей стали в зависимости от рабочего давления в трубопроводах установки. Диаметры труб и толщина их стенок выбираются в соответствии с рабочим давлением системы.</w:t>
      </w:r>
      <w:r/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Примечания:</w:t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Допускается применять неметаллические трубы (пластмассовые, композиционные, полимерные и т.п.) в АУП ТРВ НД при условии соответствия пожаростойкости и рабочему давлению.</w:t>
      </w:r>
      <w:r>
        <w:rPr>
          <w:sz w:val="28"/>
          <w:szCs w:val="28"/>
        </w:rPr>
      </w:r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Допускается при</w:t>
      </w:r>
      <w:r>
        <w:rPr>
          <w:sz w:val="28"/>
          <w:szCs w:val="28"/>
        </w:rPr>
        <w:t xml:space="preserve">менение в АУП ТРВ НД неоцинкован</w:t>
      </w:r>
      <w:r>
        <w:rPr>
          <w:sz w:val="28"/>
          <w:szCs w:val="28"/>
        </w:rPr>
        <w:t xml:space="preserve">ных труб при совокупном выполнении следующих условий:</w:t>
      </w:r>
      <w:r>
        <w:rPr>
          <w:sz w:val="28"/>
          <w:szCs w:val="28"/>
        </w:rPr>
      </w:r>
    </w:p>
    <w:p>
      <w:pPr>
        <w:pStyle w:val="766"/>
        <w:numPr>
          <w:ilvl w:val="0"/>
          <w:numId w:val="24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распылителях установлены фильтры;</w:t>
      </w:r>
      <w:r>
        <w:rPr>
          <w:bCs/>
          <w:sz w:val="28"/>
          <w:szCs w:val="28"/>
        </w:rPr>
      </w:r>
    </w:p>
    <w:p>
      <w:pPr>
        <w:pStyle w:val="766"/>
        <w:numPr>
          <w:ilvl w:val="0"/>
          <w:numId w:val="24"/>
        </w:numPr>
        <w:contextualSpacing/>
        <w:ind w:left="0" w:firstLine="709"/>
        <w:jc w:val="both"/>
        <w:widowControl w:val="off"/>
        <w:tabs>
          <w:tab w:val="left" w:pos="-142" w:leader="none"/>
          <w:tab w:val="left" w:pos="993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всасывающих трубопроводах пожарных насосов, подающих воду из пожарных резервуаров, или на питающем трубопроводе каждой обособленной распределительной сети АУП-ТРВ предусмотрен(ы) фильтр(ы) с размером ячейки фильтра не более 80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 выходного отверстия распылите</w:t>
      </w:r>
      <w:r>
        <w:rPr>
          <w:bCs/>
          <w:sz w:val="28"/>
          <w:szCs w:val="28"/>
        </w:rPr>
        <w:t xml:space="preserve">ля.</w:t>
      </w:r>
      <w:r>
        <w:rPr>
          <w:bCs/>
          <w:sz w:val="28"/>
          <w:szCs w:val="28"/>
        </w:rPr>
      </w:r>
    </w:p>
    <w:p>
      <w:pPr>
        <w:pStyle w:val="769"/>
        <w:ind w:left="0" w:firstLine="709"/>
      </w:pPr>
      <w:r>
        <w:t xml:space="preserve">Гидравлический рас</w:t>
      </w:r>
      <w:r>
        <w:t xml:space="preserve">чет модульных АУП-ТРВ должен производиться по методике производителя или иной организации, верифицированной федеральным органом исполнительной власти, осуществляющим функции по нормативно-правовому регулированию в области обеспечения пожарной безопасности.</w:t>
      </w:r>
      <w:r/>
    </w:p>
    <w:p>
      <w:pPr>
        <w:pStyle w:val="769"/>
        <w:ind w:left="0" w:firstLine="709"/>
      </w:pPr>
      <w:r>
        <w:t xml:space="preserve">Начальное давление на диктующем распылителе АУП-ТРВ геометрические параметры распределительных сетей АУП-ТРВ должны приниматься и производиться по ТД разработчика и/или предприятия - изготовителя этих АУП или распылителей.</w:t>
      </w:r>
      <w:r/>
    </w:p>
    <w:p>
      <w:pPr>
        <w:pStyle w:val="769"/>
        <w:ind w:left="0" w:firstLine="709"/>
      </w:pPr>
      <w:r>
        <w:t xml:space="preserve">В агрегатных АУП-ТРВ-ВД хранение запаса ОТВ предусматривается во встроенных в установку или рядом расположенных резервуарах. Подача ОТВ в трубопроводную разводку </w:t>
      </w:r>
      <w:r>
        <w:t xml:space="preserve">обеспечивается при помощи насосов высокого давления по сигналу от технических средств СПС и/или при вскрытии теплового замка спринклерного распылителя. При срабатывании АУП допускается подпитка водой резервуаров от внутреннего противопожарного водопровода.</w:t>
      </w:r>
      <w:r/>
    </w:p>
    <w:p>
      <w:pPr>
        <w:pStyle w:val="769"/>
        <w:ind w:left="0" w:firstLine="709"/>
      </w:pPr>
      <w:r>
        <w:t xml:space="preserve"> В модульных АУП-ТРВ-ВД хранение запаса ОТВ и алгоритм работы предусматривается по ТД изготовителя.</w:t>
      </w:r>
      <w:r/>
    </w:p>
    <w:p>
      <w:pPr>
        <w:pStyle w:val="769"/>
        <w:ind w:left="0" w:firstLine="709"/>
      </w:pPr>
      <w:r>
        <w:t xml:space="preserve"> </w:t>
      </w:r>
      <w:r>
        <w:t xml:space="preserve">Исполнение АУП-ТР-МТ должно соответствовать требованиям </w:t>
      </w:r>
      <w:r>
        <w:t xml:space="preserve">соответствующих ГОСТ</w:t>
      </w:r>
      <w:r>
        <w:t xml:space="preserve"> и настоящ</w:t>
      </w:r>
      <w:r>
        <w:t xml:space="preserve">их</w:t>
      </w:r>
      <w:r>
        <w:t xml:space="preserve"> </w:t>
      </w:r>
      <w:r>
        <w:t xml:space="preserve">Руководящих</w:t>
      </w:r>
      <w:r>
        <w:t xml:space="preserve"> </w:t>
      </w:r>
      <w:r>
        <w:t xml:space="preserve">указаний</w:t>
      </w:r>
      <w:r>
        <w:t xml:space="preserve">.</w:t>
      </w:r>
      <w:r/>
    </w:p>
    <w:p>
      <w:pPr>
        <w:pStyle w:val="769"/>
        <w:ind w:left="0" w:firstLine="709"/>
      </w:pPr>
      <w:r>
        <w:t xml:space="preserve"> </w:t>
      </w:r>
      <w:r>
        <w:t xml:space="preserve">В АУП-ТРВ-МТ могут использоваться индивидуальные или централизованные источники газа-пропеллента.</w:t>
      </w:r>
      <w:r/>
    </w:p>
    <w:p>
      <w:pPr>
        <w:pStyle w:val="769"/>
        <w:ind w:left="0" w:firstLine="709"/>
      </w:pPr>
      <w:r>
        <w:t xml:space="preserve"> </w:t>
      </w:r>
      <w:r>
        <w:t xml:space="preserve">АУП-ТРВ-МТ могут быть закачного типа или с наддувом (оснащенные баллоном с газом-пропеллентом или газогенерирующим устройством).</w:t>
      </w:r>
      <w:r/>
    </w:p>
    <w:p>
      <w:pPr>
        <w:pStyle w:val="769"/>
        <w:ind w:left="0" w:firstLine="709"/>
      </w:pPr>
      <w:r>
        <w:t xml:space="preserve"> </w:t>
      </w:r>
      <w:r>
        <w:t xml:space="preserve">В АУП-ТРВ-МТ в качестве газа-вытеснителя могут использоваться воздух, двуокись углерода или инертные газы (в газообразном либо сжиженном состоянии).</w:t>
      </w:r>
      <w:r/>
    </w:p>
    <w:p>
      <w:pPr>
        <w:pStyle w:val="76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модулей или их оросителей, параметры подачи ТРВ должны обеспечивать пожаротушение в условиях защищаемого помещения (объекта) с учетом наличия затенений вероятного очага пожара и его ранга.</w:t>
      </w:r>
      <w:r>
        <w:rPr>
          <w:sz w:val="28"/>
          <w:szCs w:val="28"/>
        </w:rPr>
      </w:r>
    </w:p>
    <w:p>
      <w:pPr>
        <w:pStyle w:val="769"/>
        <w:ind w:left="0" w:firstLine="709"/>
      </w:pPr>
      <w:r>
        <w:t xml:space="preserve">Требования по подготовке, контролю и хранению ОТВ в АУП ТРВ устанавливаются по ТД на установки.</w:t>
      </w:r>
      <w:r/>
    </w:p>
    <w:p>
      <w:pPr>
        <w:pStyle w:val="769"/>
        <w:ind w:left="0" w:firstLine="709"/>
      </w:pPr>
      <w:r>
        <w:t xml:space="preserve">Распылители, применяемые в АУП-ТРВ, должны соответствовать ТД на установку.</w:t>
      </w:r>
      <w:r/>
    </w:p>
    <w:p>
      <w:pPr>
        <w:pStyle w:val="769"/>
        <w:ind w:left="0" w:firstLine="709"/>
      </w:pPr>
      <w:r>
        <w:t xml:space="preserve"> На трубопроводах агрегатных АУП ТРВ ВД и НД до</w:t>
      </w:r>
      <w:r>
        <w:t xml:space="preserve">пускается установка пожарных кранов ВПВ, укомплектованных ручными пожарными малорасходными стволами, катушкой с шлангом высокого давления и запорной арматурой. Технические характеристики комплектующих пожарных кранов должны соответствовать ТД на установку.</w:t>
      </w:r>
      <w:r/>
    </w:p>
    <w:p>
      <w:pPr>
        <w:pStyle w:val="769"/>
        <w:ind w:left="0" w:firstLine="709"/>
      </w:pPr>
      <w:r>
        <w:t xml:space="preserve"> Трассировку трубопроводов и расположение АУП-ТРВ ВД и НД следует выбирать с учетом минимальной длины трубопроводов.</w:t>
      </w:r>
      <w:r/>
    </w:p>
    <w:p>
      <w:pPr>
        <w:pStyle w:val="766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Тупиковые и кольцевые питающие трубопроводы должны быть оборудованы промывочными заглушками либо запорными устройствами с номинальным диаметром, соответствующим номинальному диаметру трубопровода.</w:t>
      </w:r>
      <w:r>
        <w:rPr>
          <w:sz w:val="28"/>
        </w:rPr>
      </w:r>
      <w:r>
        <w:rPr>
          <w:sz w:val="28"/>
        </w:rPr>
      </w:r>
    </w:p>
    <w:p>
      <w:pPr>
        <w:pStyle w:val="766"/>
        <w:contextualSpacing/>
        <w:ind w:left="0" w:firstLine="709"/>
        <w:jc w:val="both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br w:type="page" w:clear="all"/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П</w:t>
      </w:r>
      <w:r>
        <w:rPr>
          <w:bCs/>
          <w:szCs w:val="28"/>
        </w:rPr>
        <w:t xml:space="preserve">риложение А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5812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            </w:t>
      </w:r>
      <w:r>
        <w:rPr>
          <w:bCs/>
          <w:szCs w:val="28"/>
        </w:rPr>
        <w:t xml:space="preserve">к </w:t>
      </w:r>
      <w:r>
        <w:t xml:space="preserve">Руководящим</w:t>
      </w:r>
      <w:r>
        <w:t xml:space="preserve"> </w:t>
      </w:r>
      <w:r>
        <w:t xml:space="preserve">указаниям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(справочное)</w:t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 w:val="28"/>
          <w:szCs w:val="28"/>
        </w:rPr>
      </w:pPr>
      <w:r>
        <w:rPr>
          <w:b/>
          <w:bCs/>
          <w:szCs w:val="28"/>
        </w:rPr>
        <w:t xml:space="preserve">Схема</w:t>
      </w:r>
      <w:r>
        <w:rPr>
          <w:b/>
          <w:bCs/>
          <w:szCs w:val="28"/>
        </w:rPr>
        <w:t xml:space="preserve"> АУВПТ открытого трансформатора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6"/>
        <w:contextualSpacing/>
        <w:ind w:left="65" w:right="-1"/>
        <w:jc w:val="both"/>
        <w:widowControl w:val="off"/>
        <w:tabs>
          <w:tab w:val="left" w:pos="-142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766"/>
        <w:contextualSpacing/>
        <w:ind w:left="-851" w:right="-142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-1276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219010" cy="5988101"/>
                <wp:effectExtent l="0" t="0" r="0" b="0"/>
                <wp:docPr id="3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219010" cy="59881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568.43pt;height:471.5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ind w:left="0" w:firstLine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pStyle w:val="766"/>
        <w:contextualSpacing/>
        <w:ind w:left="567" w:right="-1"/>
        <w:jc w:val="both"/>
        <w:widowControl w:val="off"/>
        <w:tabs>
          <w:tab w:val="left" w:pos="709" w:leader="none"/>
          <w:tab w:val="left" w:pos="993" w:leader="none"/>
          <w:tab w:val="left" w:pos="1276" w:leader="none"/>
          <w:tab w:val="left" w:pos="907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Приложение Б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5812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           к </w:t>
      </w:r>
      <w:r>
        <w:t xml:space="preserve">Руководящим указаниям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(справочное)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right="-1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Схема </w:t>
      </w:r>
      <w:r>
        <w:rPr>
          <w:b/>
          <w:bCs/>
          <w:szCs w:val="28"/>
        </w:rPr>
        <w:t xml:space="preserve">установки лафетных стволов для </w:t>
      </w:r>
      <w:r>
        <w:rPr>
          <w:b/>
          <w:bCs/>
          <w:szCs w:val="28"/>
        </w:rPr>
        <w:t xml:space="preserve">АУВПТ открытого трансформатора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-1418"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328954" cy="6309678"/>
                <wp:effectExtent l="0" t="0" r="0" b="0"/>
                <wp:docPr id="4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328953" cy="63096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577.08pt;height:496.83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ind w:left="0" w:firstLine="0"/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Приложение В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к </w:t>
      </w:r>
      <w:r>
        <w:t xml:space="preserve">Руководящим указаниям 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                                                                              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Схема</w:t>
      </w:r>
      <w:r>
        <w:rPr>
          <w:b/>
          <w:bCs/>
          <w:szCs w:val="28"/>
        </w:rPr>
        <w:t xml:space="preserve"> АУГПТ закрытого трансформатора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6"/>
        <w:contextualSpacing/>
        <w:ind w:left="-1560"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368553" cy="5668886"/>
                <wp:effectExtent l="0" t="0" r="0" b="0"/>
                <wp:docPr id="5" name="_x0000_i10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368553" cy="5668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580.20pt;height:446.37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ind w:left="0" w:firstLine="0"/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Приложение </w:t>
      </w:r>
      <w:r>
        <w:rPr>
          <w:bCs/>
          <w:szCs w:val="28"/>
        </w:rPr>
        <w:t xml:space="preserve">Г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5812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            </w:t>
      </w:r>
      <w:r>
        <w:rPr>
          <w:bCs/>
          <w:szCs w:val="28"/>
        </w:rPr>
        <w:t xml:space="preserve">к </w:t>
      </w:r>
      <w:r>
        <w:t xml:space="preserve">Руководящим</w:t>
      </w:r>
      <w:r>
        <w:t xml:space="preserve"> </w:t>
      </w:r>
      <w:r>
        <w:t xml:space="preserve">указаниям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(справочное)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7938" w:firstLine="0"/>
        <w:jc w:val="right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left="0" w:right="-1" w:firstLine="0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766"/>
        <w:contextualSpacing/>
        <w:ind w:right="-1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Схе</w:t>
      </w:r>
      <w:r>
        <w:rPr>
          <w:b/>
          <w:bCs/>
          <w:szCs w:val="28"/>
        </w:rPr>
        <w:t xml:space="preserve">ма АУВПТ-ТРВ кабельных туннелей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0" w:firstLine="567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766"/>
        <w:contextualSpacing/>
        <w:ind w:left="-1418" w:right="-284"/>
        <w:jc w:val="center"/>
        <w:widowControl w:val="off"/>
        <w:tabs>
          <w:tab w:val="left" w:pos="-142" w:leader="none"/>
          <w:tab w:val="left" w:pos="284" w:leader="none"/>
          <w:tab w:val="left" w:pos="127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328954" cy="5363870"/>
                <wp:effectExtent l="0" t="0" r="0" b="0"/>
                <wp:docPr id="6" name="_x0000_i10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328953" cy="536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577.08pt;height:422.3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67"/>
        <w:numPr>
          <w:ilvl w:val="0"/>
          <w:numId w:val="0"/>
        </w:numPr>
        <w:spacing w:after="0"/>
      </w:pPr>
      <w:r/>
      <w:r/>
    </w:p>
    <w:p>
      <w:pPr>
        <w:pStyle w:val="767"/>
        <w:numPr>
          <w:ilvl w:val="0"/>
          <w:numId w:val="0"/>
        </w:numPr>
        <w:spacing w:after="0"/>
      </w:pPr>
      <w:r/>
      <w:r/>
    </w:p>
    <w:p>
      <w:pPr>
        <w:pStyle w:val="767"/>
        <w:numPr>
          <w:ilvl w:val="0"/>
          <w:numId w:val="0"/>
        </w:numPr>
        <w:spacing w:after="0"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7" w:h="16840" w:orient="portrait"/>
      <w:pgMar w:top="1105" w:right="567" w:bottom="1276" w:left="1701" w:header="426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Georgia">
    <w:panose1 w:val="02040502050405020303"/>
  </w:font>
  <w:font w:name="Candara">
    <w:panose1 w:val="020F0502020204030204"/>
  </w:font>
  <w:font w:name="Calibri Light">
    <w:panose1 w:val="020F0502020204030204"/>
  </w:font>
  <w:font w:name="Verdana">
    <w:panose1 w:val="020B0604030504040204"/>
  </w:font>
  <w:font w:name="Impact">
    <w:panose1 w:val="020B0806030902050204"/>
  </w:font>
  <w:font w:name="Times New Roman CYR">
    <w:panose1 w:val="02020603050405020304"/>
  </w:font>
  <w:font w:name="Courier New">
    <w:panose1 w:val="02070309020205020404"/>
  </w:font>
  <w:font w:name="Constantia">
    <w:panose1 w:val="02040503050406030204"/>
  </w:font>
  <w:font w:name="Tahoma">
    <w:panose1 w:val="020B060403050404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DejaVu Sans Condensed">
    <w:panose1 w:val="020B0606030804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ind w:left="0" w:firstLine="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</w:t>
    </w:r>
    <w:r>
      <w:fldChar w:fldCharType="end"/>
    </w:r>
    <w:r/>
  </w:p>
  <w:p>
    <w:pPr>
      <w:pStyle w:val="82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ind w:left="0" w:firstLine="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2"/>
      <w:ind w:right="360"/>
      <w:jc w:val="righ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2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2"/>
      <w:ind w:left="0"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4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6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6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711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66" w:hanging="360"/>
        <w:tabs>
          <w:tab w:val="num" w:pos="116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86" w:hanging="360"/>
        <w:tabs>
          <w:tab w:val="num" w:pos="188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06" w:hanging="360"/>
        <w:tabs>
          <w:tab w:val="num" w:pos="260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26" w:hanging="360"/>
        <w:tabs>
          <w:tab w:val="num" w:pos="332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6" w:hanging="360"/>
        <w:tabs>
          <w:tab w:val="num" w:pos="404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66" w:hanging="360"/>
        <w:tabs>
          <w:tab w:val="num" w:pos="476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86" w:hanging="360"/>
        <w:tabs>
          <w:tab w:val="num" w:pos="548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6" w:hanging="360"/>
        <w:tabs>
          <w:tab w:val="num" w:pos="620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26" w:hanging="360"/>
        <w:tabs>
          <w:tab w:val="num" w:pos="6926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  <w:rPr>
        <w:rFonts w:cs="Times New Roman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9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pStyle w:val="903"/>
      <w:isLgl w:val="false"/>
      <w:suff w:val="tab"/>
      <w:lvlText w:val="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767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768"/>
      <w:isLgl w:val="false"/>
      <w:suff w:val="space"/>
      <w:lvlText w:val="%1.%2."/>
      <w:lvlJc w:val="left"/>
      <w:pPr>
        <w:ind w:left="45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769"/>
      <w:isLgl w:val="false"/>
      <w:suff w:val="space"/>
      <w:lvlText w:val="%1.%2.%3"/>
      <w:lvlJc w:val="left"/>
      <w:pPr>
        <w:ind w:left="624" w:firstLine="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362" w:firstLine="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16" w:firstLine="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70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24" w:firstLine="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78" w:firstLine="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32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pStyle w:val="973"/>
      <w:isLgl w:val="false"/>
      <w:suff w:val="tab"/>
      <w:lvlText w:val=""/>
      <w:lvlJc w:val="left"/>
      <w:pPr>
        <w:ind w:left="121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146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6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6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83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7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9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3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5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9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711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pStyle w:val="900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2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98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8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40" w:hanging="180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30"/>
  </w:num>
  <w:num w:numId="4">
    <w:abstractNumId w:val="22"/>
  </w:num>
  <w:num w:numId="5">
    <w:abstractNumId w:val="0"/>
  </w:num>
  <w:num w:numId="6">
    <w:abstractNumId w:val="9"/>
  </w:num>
  <w:num w:numId="7">
    <w:abstractNumId w:val="27"/>
  </w:num>
  <w:num w:numId="8">
    <w:abstractNumId w:val="21"/>
  </w:num>
  <w:num w:numId="9">
    <w:abstractNumId w:val="4"/>
  </w:num>
  <w:num w:numId="10">
    <w:abstractNumId w:val="11"/>
  </w:num>
  <w:num w:numId="11">
    <w:abstractNumId w:val="16"/>
  </w:num>
  <w:num w:numId="12">
    <w:abstractNumId w:val="10"/>
  </w:num>
  <w:num w:numId="13">
    <w:abstractNumId w:val="15"/>
  </w:num>
  <w:num w:numId="14">
    <w:abstractNumId w:val="20"/>
  </w:num>
  <w:num w:numId="15">
    <w:abstractNumId w:val="1"/>
  </w:num>
  <w:num w:numId="16">
    <w:abstractNumId w:val="2"/>
  </w:num>
  <w:num w:numId="17">
    <w:abstractNumId w:val="28"/>
  </w:num>
  <w:num w:numId="18">
    <w:abstractNumId w:val="24"/>
  </w:num>
  <w:num w:numId="19">
    <w:abstractNumId w:val="25"/>
  </w:num>
  <w:num w:numId="20">
    <w:abstractNumId w:val="19"/>
  </w:num>
  <w:num w:numId="21">
    <w:abstractNumId w:val="18"/>
  </w:num>
  <w:num w:numId="22">
    <w:abstractNumId w:val="13"/>
  </w:num>
  <w:num w:numId="23">
    <w:abstractNumId w:val="26"/>
  </w:num>
  <w:num w:numId="24">
    <w:abstractNumId w:val="17"/>
  </w:num>
  <w:num w:numId="25">
    <w:abstractNumId w:val="8"/>
  </w:num>
  <w:num w:numId="26">
    <w:abstractNumId w:val="23"/>
  </w:num>
  <w:num w:numId="27">
    <w:abstractNumId w:val="5"/>
  </w:num>
  <w:num w:numId="28">
    <w:abstractNumId w:val="7"/>
  </w:num>
  <w:num w:numId="29">
    <w:abstractNumId w:val="3"/>
  </w:num>
  <w:num w:numId="30">
    <w:abstractNumId w:val="29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66"/>
    <w:next w:val="76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66"/>
    <w:next w:val="76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66"/>
    <w:next w:val="76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66"/>
    <w:next w:val="76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66"/>
    <w:next w:val="76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66"/>
    <w:next w:val="76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66"/>
    <w:next w:val="76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66"/>
    <w:next w:val="76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66"/>
    <w:next w:val="76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6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66"/>
    <w:next w:val="76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66"/>
    <w:next w:val="76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66"/>
    <w:next w:val="76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66"/>
    <w:next w:val="76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6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6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66"/>
    <w:next w:val="76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6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6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66"/>
    <w:next w:val="76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66"/>
    <w:next w:val="76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66"/>
    <w:next w:val="76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66"/>
    <w:next w:val="76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66"/>
    <w:next w:val="76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66"/>
    <w:next w:val="76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66"/>
    <w:next w:val="76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66"/>
    <w:next w:val="76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66"/>
    <w:next w:val="76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66"/>
    <w:next w:val="766"/>
    <w:uiPriority w:val="99"/>
    <w:unhideWhenUsed/>
    <w:pPr>
      <w:spacing w:after="0" w:afterAutospacing="0"/>
    </w:pPr>
  </w:style>
  <w:style w:type="paragraph" w:styleId="766" w:default="1">
    <w:name w:val="Normal"/>
    <w:next w:val="766"/>
    <w:link w:val="766"/>
    <w:qFormat/>
    <w:pPr>
      <w:ind w:left="924" w:firstLine="357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767">
    <w:name w:val="Заголовок 1"/>
    <w:basedOn w:val="766"/>
    <w:next w:val="766"/>
    <w:link w:val="779"/>
    <w:uiPriority w:val="9"/>
    <w:qFormat/>
    <w:pPr>
      <w:numPr>
        <w:ilvl w:val="0"/>
        <w:numId w:val="32"/>
      </w:numPr>
      <w:ind w:firstLine="709"/>
      <w:jc w:val="both"/>
      <w:keepNext/>
      <w:spacing w:after="120"/>
      <w:outlineLvl w:val="0"/>
    </w:pPr>
    <w:rPr>
      <w:b/>
      <w:bCs/>
      <w:sz w:val="32"/>
      <w:szCs w:val="32"/>
      <w:lang w:val="en-US" w:eastAsia="en-US"/>
    </w:rPr>
  </w:style>
  <w:style w:type="paragraph" w:styleId="768">
    <w:name w:val="Заголовок 2"/>
    <w:basedOn w:val="766"/>
    <w:next w:val="766"/>
    <w:link w:val="780"/>
    <w:uiPriority w:val="9"/>
    <w:qFormat/>
    <w:pPr>
      <w:numPr>
        <w:ilvl w:val="1"/>
        <w:numId w:val="32"/>
      </w:numPr>
      <w:ind w:left="0" w:firstLine="709"/>
      <w:jc w:val="both"/>
      <w:keepNext/>
      <w:spacing w:line="360" w:lineRule="auto"/>
      <w:outlineLvl w:val="1"/>
    </w:pPr>
    <w:rPr>
      <w:bCs/>
      <w:iCs/>
      <w:sz w:val="28"/>
      <w:szCs w:val="28"/>
      <w:lang w:val="en-US" w:eastAsia="en-US"/>
    </w:rPr>
  </w:style>
  <w:style w:type="paragraph" w:styleId="769">
    <w:name w:val="Заголовок 3"/>
    <w:basedOn w:val="766"/>
    <w:next w:val="766"/>
    <w:link w:val="781"/>
    <w:uiPriority w:val="9"/>
    <w:qFormat/>
    <w:pPr>
      <w:numPr>
        <w:ilvl w:val="2"/>
        <w:numId w:val="32"/>
      </w:numPr>
      <w:contextualSpacing/>
      <w:ind w:left="0" w:firstLine="0"/>
      <w:jc w:val="both"/>
      <w:tabs>
        <w:tab w:val="left" w:pos="1276" w:leader="none"/>
        <w:tab w:val="left" w:pos="9639" w:leader="none"/>
      </w:tabs>
      <w:outlineLvl w:val="2"/>
    </w:pPr>
    <w:rPr>
      <w:color w:val="000000"/>
      <w:sz w:val="28"/>
      <w:szCs w:val="28"/>
      <w:lang w:val="en-US" w:eastAsia="en-US"/>
    </w:rPr>
  </w:style>
  <w:style w:type="paragraph" w:styleId="770">
    <w:name w:val="Заголовок 4"/>
    <w:basedOn w:val="766"/>
    <w:next w:val="766"/>
    <w:link w:val="782"/>
    <w:uiPriority w:val="9"/>
    <w:qFormat/>
    <w:pPr>
      <w:ind w:left="0" w:firstLine="709"/>
      <w:jc w:val="center"/>
      <w:keepNext/>
      <w:spacing w:before="120" w:after="120" w:line="360" w:lineRule="auto"/>
      <w:outlineLvl w:val="3"/>
    </w:pPr>
    <w:rPr>
      <w:b/>
      <w:bCs/>
      <w:sz w:val="32"/>
      <w:szCs w:val="28"/>
      <w:lang w:val="en-US" w:eastAsia="en-US"/>
    </w:rPr>
  </w:style>
  <w:style w:type="paragraph" w:styleId="771">
    <w:name w:val="Заголовок 5"/>
    <w:basedOn w:val="766"/>
    <w:next w:val="766"/>
    <w:link w:val="783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772">
    <w:name w:val="Заголовок 6"/>
    <w:basedOn w:val="766"/>
    <w:next w:val="766"/>
    <w:link w:val="784"/>
    <w:uiPriority w:val="9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0"/>
      <w:szCs w:val="20"/>
      <w:lang w:val="en-US" w:eastAsia="en-US"/>
    </w:rPr>
  </w:style>
  <w:style w:type="paragraph" w:styleId="773">
    <w:name w:val="Заголовок 7"/>
    <w:basedOn w:val="766"/>
    <w:next w:val="766"/>
    <w:link w:val="785"/>
    <w:uiPriority w:val="9"/>
    <w:semiHidden/>
    <w:unhideWhenUsed/>
    <w:qFormat/>
    <w:pPr>
      <w:spacing w:before="240" w:after="60"/>
      <w:outlineLvl w:val="6"/>
    </w:pPr>
    <w:rPr>
      <w:rFonts w:ascii="Calibri" w:hAnsi="Calibri"/>
      <w:lang w:val="en-US" w:eastAsia="en-US"/>
    </w:rPr>
  </w:style>
  <w:style w:type="paragraph" w:styleId="774">
    <w:name w:val="Заголовок 8"/>
    <w:basedOn w:val="766"/>
    <w:next w:val="766"/>
    <w:link w:val="786"/>
    <w:uiPriority w:val="9"/>
    <w:semiHidden/>
    <w:unhideWhenUsed/>
    <w:qFormat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775">
    <w:name w:val="Заголовок 9"/>
    <w:basedOn w:val="766"/>
    <w:next w:val="766"/>
    <w:link w:val="787"/>
    <w:uiPriority w:val="9"/>
    <w:semiHidden/>
    <w:unhideWhenUsed/>
    <w:qFormat/>
    <w:pPr>
      <w:spacing w:before="240" w:after="60"/>
      <w:outlineLvl w:val="8"/>
    </w:pPr>
    <w:rPr>
      <w:rFonts w:ascii="Cambria" w:hAnsi="Cambria"/>
      <w:sz w:val="20"/>
      <w:szCs w:val="20"/>
      <w:lang w:val="en-US" w:eastAsia="en-US"/>
    </w:rPr>
  </w:style>
  <w:style w:type="character" w:styleId="776">
    <w:name w:val="Основной шрифт абзаца"/>
    <w:next w:val="776"/>
    <w:link w:val="766"/>
    <w:uiPriority w:val="1"/>
    <w:unhideWhenUsed/>
  </w:style>
  <w:style w:type="table" w:styleId="777">
    <w:name w:val="Обычная таблица"/>
    <w:next w:val="777"/>
    <w:link w:val="766"/>
    <w:uiPriority w:val="99"/>
    <w:semiHidden/>
    <w:unhideWhenUsed/>
    <w:tblPr/>
  </w:style>
  <w:style w:type="numbering" w:styleId="778">
    <w:name w:val="Нет списка"/>
    <w:next w:val="778"/>
    <w:link w:val="766"/>
    <w:uiPriority w:val="99"/>
    <w:semiHidden/>
    <w:unhideWhenUsed/>
  </w:style>
  <w:style w:type="character" w:styleId="779">
    <w:name w:val="Заголовок 1 Знак"/>
    <w:next w:val="779"/>
    <w:link w:val="767"/>
    <w:uiPriority w:val="9"/>
    <w:rPr>
      <w:rFonts w:ascii="Times New Roman" w:hAnsi="Times New Roman"/>
      <w:b/>
      <w:bCs/>
      <w:sz w:val="32"/>
      <w:szCs w:val="32"/>
    </w:rPr>
  </w:style>
  <w:style w:type="character" w:styleId="780">
    <w:name w:val="Заголовок 2 Знак"/>
    <w:next w:val="780"/>
    <w:link w:val="768"/>
    <w:uiPriority w:val="9"/>
    <w:rPr>
      <w:rFonts w:ascii="Times New Roman" w:hAnsi="Times New Roman"/>
      <w:bCs/>
      <w:iCs/>
      <w:sz w:val="28"/>
      <w:szCs w:val="28"/>
    </w:rPr>
  </w:style>
  <w:style w:type="character" w:styleId="781">
    <w:name w:val="Заголовок 3 Знак"/>
    <w:next w:val="781"/>
    <w:link w:val="769"/>
    <w:uiPriority w:val="9"/>
    <w:rPr>
      <w:rFonts w:ascii="Times New Roman" w:hAnsi="Times New Roman"/>
      <w:color w:val="000000"/>
      <w:sz w:val="28"/>
      <w:szCs w:val="28"/>
    </w:rPr>
  </w:style>
  <w:style w:type="character" w:styleId="782">
    <w:name w:val="Заголовок 4 Знак"/>
    <w:next w:val="782"/>
    <w:link w:val="770"/>
    <w:uiPriority w:val="9"/>
    <w:rPr>
      <w:rFonts w:ascii="Times New Roman" w:hAnsi="Times New Roman"/>
      <w:b/>
      <w:bCs/>
      <w:sz w:val="32"/>
      <w:szCs w:val="28"/>
    </w:rPr>
  </w:style>
  <w:style w:type="character" w:styleId="783">
    <w:name w:val="Заголовок 5 Знак"/>
    <w:next w:val="783"/>
    <w:link w:val="771"/>
    <w:uiPriority w:val="9"/>
    <w:semiHidden/>
    <w:rPr>
      <w:rFonts w:cs="Times New Roman"/>
      <w:b/>
      <w:bCs/>
      <w:i/>
      <w:iCs/>
      <w:sz w:val="26"/>
      <w:szCs w:val="26"/>
    </w:rPr>
  </w:style>
  <w:style w:type="character" w:styleId="784">
    <w:name w:val="Заголовок 6 Знак"/>
    <w:next w:val="784"/>
    <w:link w:val="772"/>
    <w:uiPriority w:val="9"/>
    <w:semiHidden/>
    <w:rPr>
      <w:rFonts w:cs="Times New Roman"/>
      <w:b/>
      <w:bCs/>
    </w:rPr>
  </w:style>
  <w:style w:type="character" w:styleId="785">
    <w:name w:val="Заголовок 7 Знак"/>
    <w:next w:val="785"/>
    <w:link w:val="773"/>
    <w:uiPriority w:val="9"/>
    <w:semiHidden/>
    <w:rPr>
      <w:rFonts w:cs="Times New Roman"/>
      <w:sz w:val="24"/>
      <w:szCs w:val="24"/>
    </w:rPr>
  </w:style>
  <w:style w:type="character" w:styleId="786">
    <w:name w:val="Заголовок 8 Знак"/>
    <w:next w:val="786"/>
    <w:link w:val="774"/>
    <w:uiPriority w:val="9"/>
    <w:semiHidden/>
    <w:rPr>
      <w:rFonts w:cs="Times New Roman"/>
      <w:i/>
      <w:iCs/>
      <w:sz w:val="24"/>
      <w:szCs w:val="24"/>
    </w:rPr>
  </w:style>
  <w:style w:type="character" w:styleId="787">
    <w:name w:val="Заголовок 9 Знак"/>
    <w:next w:val="787"/>
    <w:link w:val="775"/>
    <w:uiPriority w:val="9"/>
    <w:semiHidden/>
    <w:rPr>
      <w:rFonts w:ascii="Cambria" w:hAnsi="Cambria" w:eastAsia="Times New Roman" w:cs="Times New Roman"/>
    </w:rPr>
  </w:style>
  <w:style w:type="paragraph" w:styleId="788">
    <w:name w:val="Текст выноски"/>
    <w:basedOn w:val="766"/>
    <w:next w:val="788"/>
    <w:link w:val="789"/>
    <w:uiPriority w:val="99"/>
    <w:semiHidden/>
    <w:rPr>
      <w:rFonts w:ascii="Tahoma" w:hAnsi="Tahoma"/>
      <w:sz w:val="16"/>
      <w:szCs w:val="20"/>
      <w:lang w:val="en-US" w:eastAsia="en-US"/>
    </w:rPr>
  </w:style>
  <w:style w:type="character" w:styleId="789">
    <w:name w:val="Текст выноски Знак"/>
    <w:next w:val="789"/>
    <w:link w:val="788"/>
    <w:uiPriority w:val="99"/>
    <w:semiHidden/>
    <w:rPr>
      <w:rFonts w:ascii="Tahoma" w:hAnsi="Tahoma"/>
      <w:sz w:val="16"/>
      <w:lang w:val="en-US" w:eastAsia="en-US"/>
    </w:rPr>
  </w:style>
  <w:style w:type="paragraph" w:styleId="790">
    <w:name w:val="Стиль14"/>
    <w:basedOn w:val="766"/>
    <w:next w:val="790"/>
    <w:link w:val="766"/>
    <w:uiPriority w:val="99"/>
    <w:pPr>
      <w:ind w:firstLine="720"/>
      <w:jc w:val="both"/>
      <w:spacing w:line="264" w:lineRule="auto"/>
    </w:pPr>
    <w:rPr>
      <w:sz w:val="28"/>
      <w:szCs w:val="20"/>
    </w:rPr>
  </w:style>
  <w:style w:type="paragraph" w:styleId="791">
    <w:name w:val="Noeeu14"/>
    <w:basedOn w:val="766"/>
    <w:next w:val="791"/>
    <w:link w:val="766"/>
    <w:uiPriority w:val="99"/>
    <w:pPr>
      <w:ind w:firstLine="720"/>
      <w:jc w:val="both"/>
      <w:spacing w:line="264" w:lineRule="auto"/>
    </w:pPr>
    <w:rPr>
      <w:sz w:val="28"/>
      <w:szCs w:val="20"/>
    </w:rPr>
  </w:style>
  <w:style w:type="paragraph" w:styleId="792">
    <w:name w:val="Абзац списка"/>
    <w:basedOn w:val="766"/>
    <w:next w:val="792"/>
    <w:link w:val="766"/>
    <w:uiPriority w:val="34"/>
    <w:qFormat/>
    <w:pPr>
      <w:contextualSpacing/>
      <w:ind w:left="720"/>
    </w:pPr>
  </w:style>
  <w:style w:type="paragraph" w:styleId="793">
    <w:name w:val=".FORMATTEXT"/>
    <w:next w:val="793"/>
    <w:link w:val="766"/>
    <w:uiPriority w:val="99"/>
    <w:pPr>
      <w:ind w:left="924" w:firstLine="357"/>
      <w:widowControl w:val="off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794">
    <w:name w:val="#COL_BOTTOM"/>
    <w:next w:val="794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795">
    <w:name w:val="#COL_TOP"/>
    <w:next w:val="795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796">
    <w:name w:val="#COL_TOP.PAGE_NUM"/>
    <w:next w:val="796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797">
    <w:name w:val="#COL_TOP.TYPE"/>
    <w:next w:val="797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798">
    <w:name w:val="#PRINT_SECTION"/>
    <w:next w:val="798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799">
    <w:name w:val=".CENTERTEXT"/>
    <w:next w:val="799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0">
    <w:name w:val=".HEADERTEXT"/>
    <w:next w:val="800"/>
    <w:link w:val="766"/>
    <w:uiPriority w:val="99"/>
    <w:pPr>
      <w:ind w:left="924" w:firstLine="357"/>
      <w:widowControl w:val="off"/>
    </w:pPr>
    <w:rPr>
      <w:rFonts w:ascii="Arial" w:hAnsi="Arial" w:cs="Arial"/>
      <w:sz w:val="22"/>
      <w:szCs w:val="22"/>
      <w:lang w:val="ru-RU" w:eastAsia="ru-RU" w:bidi="ar-SA"/>
    </w:rPr>
  </w:style>
  <w:style w:type="paragraph" w:styleId="801">
    <w:name w:val=".TOPLEVELTEXT"/>
    <w:next w:val="801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2">
    <w:name w:val=".UNFORMATTEXT"/>
    <w:next w:val="802"/>
    <w:link w:val="766"/>
    <w:uiPriority w:val="99"/>
    <w:pPr>
      <w:ind w:left="924" w:firstLine="357"/>
      <w:widowControl w:val="off"/>
    </w:pPr>
    <w:rPr>
      <w:rFonts w:ascii="Courier New" w:hAnsi="Courier New" w:cs="Courier New"/>
      <w:sz w:val="24"/>
      <w:szCs w:val="24"/>
      <w:lang w:val="ru-RU" w:eastAsia="ru-RU" w:bidi="ar-SA"/>
    </w:rPr>
  </w:style>
  <w:style w:type="paragraph" w:styleId="803">
    <w:name w:val="BODY"/>
    <w:next w:val="803"/>
    <w:link w:val="766"/>
    <w:uiPriority w:val="99"/>
    <w:pPr>
      <w:ind w:left="924" w:firstLine="357"/>
      <w:widowControl w:val="off"/>
    </w:pPr>
    <w:rPr>
      <w:rFonts w:ascii="DejaVu Sans Condensed" w:hAnsi="DejaVu Sans Condensed" w:cs="DejaVu Sans Condensed"/>
      <w:sz w:val="24"/>
      <w:szCs w:val="24"/>
      <w:lang w:val="ru-RU" w:eastAsia="ru-RU" w:bidi="ar-SA"/>
    </w:rPr>
  </w:style>
  <w:style w:type="paragraph" w:styleId="804">
    <w:name w:val="HTML"/>
    <w:next w:val="804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5">
    <w:name w:val="LI"/>
    <w:next w:val="805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6">
    <w:name w:val="LI:HOVER"/>
    <w:next w:val="806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7">
    <w:name w:val="TABLE"/>
    <w:next w:val="807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8">
    <w:name w:val="UL.LIST"/>
    <w:next w:val="808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09">
    <w:name w:val="UL.LISTRECORDS"/>
    <w:next w:val="809"/>
    <w:link w:val="766"/>
    <w:uiPriority w:val="99"/>
    <w:pPr>
      <w:ind w:left="924" w:firstLine="357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10">
    <w:name w:val="Основной текст"/>
    <w:basedOn w:val="766"/>
    <w:next w:val="810"/>
    <w:link w:val="811"/>
    <w:uiPriority w:val="99"/>
    <w:pPr>
      <w:spacing w:after="120"/>
    </w:pPr>
    <w:rPr>
      <w:sz w:val="20"/>
      <w:szCs w:val="20"/>
      <w:lang w:val="en-US" w:eastAsia="en-US"/>
    </w:rPr>
  </w:style>
  <w:style w:type="character" w:styleId="811">
    <w:name w:val="Основной текст Знак"/>
    <w:next w:val="811"/>
    <w:link w:val="810"/>
    <w:uiPriority w:val="99"/>
    <w:rPr>
      <w:rFonts w:ascii="Times New Roman" w:hAnsi="Times New Roman" w:cs="Times New Roman"/>
      <w:sz w:val="20"/>
    </w:rPr>
  </w:style>
  <w:style w:type="paragraph" w:styleId="812">
    <w:name w:val="Верхний колонтитул"/>
    <w:basedOn w:val="766"/>
    <w:next w:val="812"/>
    <w:link w:val="813"/>
    <w:uiPriority w:val="99"/>
    <w:pPr>
      <w:tabs>
        <w:tab w:val="center" w:pos="4153" w:leader="none"/>
        <w:tab w:val="right" w:pos="8306" w:leader="none"/>
      </w:tabs>
    </w:pPr>
    <w:rPr>
      <w:sz w:val="28"/>
      <w:szCs w:val="20"/>
      <w:lang w:val="en-US" w:eastAsia="en-US"/>
    </w:rPr>
  </w:style>
  <w:style w:type="character" w:styleId="813">
    <w:name w:val="Верхний колонтитул Знак"/>
    <w:next w:val="813"/>
    <w:link w:val="812"/>
    <w:uiPriority w:val="99"/>
    <w:rPr>
      <w:rFonts w:ascii="Times New Roman" w:hAnsi="Times New Roman"/>
      <w:sz w:val="28"/>
      <w:lang w:val="en-US" w:eastAsia="en-US"/>
    </w:rPr>
  </w:style>
  <w:style w:type="table" w:styleId="814">
    <w:name w:val="Сетка таблицы"/>
    <w:basedOn w:val="777"/>
    <w:next w:val="814"/>
    <w:link w:val="766"/>
    <w:uiPriority w:val="99"/>
    <w:rPr>
      <w:rFonts w:ascii="Times New Roman" w:hAnsi="Times New Roman"/>
    </w:rPr>
    <w:tblPr/>
  </w:style>
  <w:style w:type="paragraph" w:styleId="815">
    <w:name w:val="Основной текст 2"/>
    <w:basedOn w:val="766"/>
    <w:next w:val="815"/>
    <w:link w:val="816"/>
    <w:uiPriority w:val="99"/>
    <w:pPr>
      <w:spacing w:after="120" w:line="480" w:lineRule="auto"/>
    </w:pPr>
    <w:rPr>
      <w:rFonts w:ascii="Calibri" w:hAnsi="Calibri"/>
      <w:sz w:val="20"/>
      <w:szCs w:val="20"/>
      <w:lang w:val="en-US" w:eastAsia="en-US"/>
    </w:rPr>
  </w:style>
  <w:style w:type="character" w:styleId="816">
    <w:name w:val="Основной текст 2 Знак"/>
    <w:next w:val="816"/>
    <w:link w:val="815"/>
    <w:uiPriority w:val="99"/>
    <w:rPr>
      <w:rFonts w:cs="Times New Roman"/>
    </w:rPr>
  </w:style>
  <w:style w:type="paragraph" w:styleId="817">
    <w:name w:val="Основной текст с отступом"/>
    <w:basedOn w:val="766"/>
    <w:next w:val="817"/>
    <w:link w:val="818"/>
    <w:uiPriority w:val="99"/>
    <w:pPr>
      <w:ind w:left="283"/>
      <w:spacing w:after="120"/>
    </w:pPr>
    <w:rPr>
      <w:rFonts w:ascii="Calibri" w:hAnsi="Calibri"/>
      <w:sz w:val="20"/>
      <w:szCs w:val="20"/>
      <w:lang w:val="en-US" w:eastAsia="en-US"/>
    </w:rPr>
  </w:style>
  <w:style w:type="character" w:styleId="818">
    <w:name w:val="Основной текст с отступом Знак"/>
    <w:next w:val="818"/>
    <w:link w:val="817"/>
    <w:uiPriority w:val="99"/>
    <w:rPr>
      <w:rFonts w:cs="Times New Roman"/>
    </w:rPr>
  </w:style>
  <w:style w:type="paragraph" w:styleId="819">
    <w:name w:val="Основной текст с отступом 2"/>
    <w:basedOn w:val="766"/>
    <w:next w:val="819"/>
    <w:link w:val="820"/>
    <w:uiPriority w:val="99"/>
    <w:pPr>
      <w:ind w:left="283"/>
      <w:spacing w:after="120" w:line="480" w:lineRule="auto"/>
    </w:pPr>
    <w:rPr>
      <w:sz w:val="20"/>
      <w:szCs w:val="20"/>
      <w:lang w:val="en-US" w:eastAsia="en-US"/>
    </w:rPr>
  </w:style>
  <w:style w:type="character" w:styleId="820">
    <w:name w:val="Основной текст с отступом 2 Знак"/>
    <w:next w:val="820"/>
    <w:link w:val="819"/>
    <w:uiPriority w:val="99"/>
    <w:rPr>
      <w:rFonts w:ascii="Times New Roman" w:hAnsi="Times New Roman" w:cs="Times New Roman"/>
      <w:sz w:val="20"/>
    </w:rPr>
  </w:style>
  <w:style w:type="paragraph" w:styleId="821">
    <w:name w:val="ConsPlusTitle"/>
    <w:next w:val="821"/>
    <w:link w:val="766"/>
    <w:uiPriority w:val="99"/>
    <w:pPr>
      <w:ind w:left="924" w:firstLine="357"/>
      <w:widowControl w:val="off"/>
    </w:pPr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822">
    <w:name w:val="ConsNormal"/>
    <w:next w:val="822"/>
    <w:link w:val="766"/>
    <w:uiPriority w:val="99"/>
    <w:pPr>
      <w:ind w:left="924" w:firstLine="720"/>
      <w:widowControl w:val="off"/>
    </w:pPr>
    <w:rPr>
      <w:rFonts w:ascii="Arial" w:hAnsi="Arial" w:cs="Arial"/>
      <w:sz w:val="16"/>
      <w:szCs w:val="16"/>
      <w:lang w:val="ru-RU" w:eastAsia="ru-RU" w:bidi="ar-SA"/>
    </w:rPr>
  </w:style>
  <w:style w:type="paragraph" w:styleId="823">
    <w:name w:val="Таблицы (моноширинный)"/>
    <w:basedOn w:val="766"/>
    <w:next w:val="766"/>
    <w:link w:val="766"/>
    <w:uiPriority w:val="99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824">
    <w:name w:val="Комментарий"/>
    <w:basedOn w:val="766"/>
    <w:next w:val="766"/>
    <w:link w:val="766"/>
    <w:uiPriority w:val="99"/>
    <w:pPr>
      <w:ind w:left="170"/>
      <w:jc w:val="both"/>
      <w:widowControl w:val="off"/>
    </w:pPr>
    <w:rPr>
      <w:rFonts w:ascii="Arial" w:hAnsi="Arial"/>
      <w:i/>
      <w:iCs/>
      <w:color w:val="800080"/>
      <w:sz w:val="20"/>
      <w:szCs w:val="20"/>
    </w:rPr>
  </w:style>
  <w:style w:type="paragraph" w:styleId="825">
    <w:name w:val="Нижний колонтитул"/>
    <w:basedOn w:val="766"/>
    <w:next w:val="825"/>
    <w:link w:val="826"/>
    <w:uiPriority w:val="99"/>
    <w:pPr>
      <w:tabs>
        <w:tab w:val="center" w:pos="4677" w:leader="none"/>
        <w:tab w:val="right" w:pos="9355" w:leader="none"/>
      </w:tabs>
    </w:pPr>
    <w:rPr>
      <w:rFonts w:ascii="Calibri" w:hAnsi="Calibri"/>
      <w:sz w:val="20"/>
      <w:szCs w:val="20"/>
      <w:lang w:val="en-US" w:eastAsia="en-US"/>
    </w:rPr>
  </w:style>
  <w:style w:type="character" w:styleId="826">
    <w:name w:val="Нижний колонтитул Знак"/>
    <w:next w:val="826"/>
    <w:link w:val="825"/>
    <w:uiPriority w:val="99"/>
    <w:rPr>
      <w:rFonts w:cs="Times New Roman"/>
    </w:rPr>
  </w:style>
  <w:style w:type="character" w:styleId="827">
    <w:name w:val="Знак примечания"/>
    <w:next w:val="827"/>
    <w:link w:val="766"/>
    <w:uiPriority w:val="99"/>
    <w:semiHidden/>
    <w:rPr>
      <w:rFonts w:cs="Times New Roman"/>
      <w:sz w:val="16"/>
    </w:rPr>
  </w:style>
  <w:style w:type="paragraph" w:styleId="828">
    <w:name w:val="Текст примечания"/>
    <w:basedOn w:val="766"/>
    <w:next w:val="828"/>
    <w:link w:val="829"/>
    <w:uiPriority w:val="99"/>
    <w:pPr>
      <w:ind w:right="-23" w:firstLine="480"/>
      <w:jc w:val="both"/>
      <w:spacing w:line="280" w:lineRule="auto"/>
      <w:widowControl w:val="off"/>
    </w:pPr>
    <w:rPr>
      <w:rFonts w:ascii="Times New Roman CYR" w:hAnsi="Times New Roman CYR"/>
      <w:sz w:val="20"/>
      <w:szCs w:val="20"/>
      <w:lang w:val="en-US" w:eastAsia="en-US"/>
    </w:rPr>
  </w:style>
  <w:style w:type="character" w:styleId="829">
    <w:name w:val="Текст примечания Знак"/>
    <w:next w:val="829"/>
    <w:link w:val="828"/>
    <w:uiPriority w:val="99"/>
    <w:rPr>
      <w:rFonts w:ascii="Times New Roman CYR" w:hAnsi="Times New Roman CYR" w:cs="Times New Roman"/>
      <w:sz w:val="20"/>
    </w:rPr>
  </w:style>
  <w:style w:type="character" w:styleId="830">
    <w:name w:val="Номер страницы"/>
    <w:next w:val="830"/>
    <w:link w:val="766"/>
    <w:uiPriority w:val="99"/>
    <w:rPr>
      <w:rFonts w:cs="Times New Roman"/>
    </w:rPr>
  </w:style>
  <w:style w:type="character" w:styleId="831">
    <w:name w:val="Выделение"/>
    <w:next w:val="831"/>
    <w:link w:val="766"/>
    <w:uiPriority w:val="20"/>
    <w:qFormat/>
    <w:rPr>
      <w:rFonts w:ascii="Calibri" w:hAnsi="Calibri"/>
      <w:b/>
      <w:i/>
      <w:iCs/>
    </w:rPr>
  </w:style>
  <w:style w:type="paragraph" w:styleId="832">
    <w:name w:val="formattext topleveltext"/>
    <w:basedOn w:val="766"/>
    <w:next w:val="832"/>
    <w:link w:val="766"/>
    <w:uiPriority w:val="99"/>
    <w:pPr>
      <w:spacing w:before="100" w:beforeAutospacing="1" w:after="100" w:afterAutospacing="1"/>
    </w:pPr>
  </w:style>
  <w:style w:type="character" w:styleId="833">
    <w:name w:val="apple-converted-space"/>
    <w:next w:val="833"/>
    <w:link w:val="766"/>
    <w:uiPriority w:val="99"/>
  </w:style>
  <w:style w:type="character" w:styleId="834">
    <w:name w:val="webofficeattributevalue1"/>
    <w:next w:val="834"/>
    <w:link w:val="766"/>
    <w:uiPriority w:val="99"/>
    <w:rPr>
      <w:rFonts w:ascii="Verdana" w:hAnsi="Verdana"/>
      <w:color w:val="000000"/>
      <w:sz w:val="18"/>
      <w:u w:val="none"/>
    </w:rPr>
  </w:style>
  <w:style w:type="character" w:styleId="835">
    <w:name w:val="Строгий"/>
    <w:next w:val="835"/>
    <w:link w:val="766"/>
    <w:uiPriority w:val="22"/>
    <w:qFormat/>
    <w:rPr>
      <w:b/>
      <w:bCs/>
    </w:rPr>
  </w:style>
  <w:style w:type="paragraph" w:styleId="836">
    <w:name w:val="Обычный (веб)"/>
    <w:basedOn w:val="766"/>
    <w:next w:val="836"/>
    <w:link w:val="766"/>
    <w:uiPriority w:val="99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837">
    <w:name w:val="Style2"/>
    <w:basedOn w:val="766"/>
    <w:next w:val="837"/>
    <w:link w:val="766"/>
    <w:uiPriority w:val="99"/>
    <w:pPr>
      <w:jc w:val="both"/>
      <w:widowControl w:val="off"/>
    </w:pPr>
  </w:style>
  <w:style w:type="paragraph" w:styleId="838">
    <w:name w:val="Style3"/>
    <w:basedOn w:val="766"/>
    <w:next w:val="838"/>
    <w:link w:val="766"/>
    <w:uiPriority w:val="99"/>
    <w:pPr>
      <w:jc w:val="both"/>
      <w:spacing w:line="320" w:lineRule="exact"/>
      <w:widowControl w:val="off"/>
    </w:pPr>
  </w:style>
  <w:style w:type="paragraph" w:styleId="839">
    <w:name w:val="Style5"/>
    <w:basedOn w:val="766"/>
    <w:next w:val="839"/>
    <w:link w:val="766"/>
    <w:uiPriority w:val="99"/>
    <w:pPr>
      <w:ind w:firstLine="727"/>
      <w:jc w:val="both"/>
      <w:spacing w:line="320" w:lineRule="exact"/>
      <w:widowControl w:val="off"/>
    </w:pPr>
  </w:style>
  <w:style w:type="paragraph" w:styleId="840">
    <w:name w:val="Style10"/>
    <w:basedOn w:val="766"/>
    <w:next w:val="840"/>
    <w:link w:val="766"/>
    <w:uiPriority w:val="99"/>
    <w:pPr>
      <w:ind w:firstLine="706"/>
      <w:jc w:val="both"/>
      <w:spacing w:line="324" w:lineRule="exact"/>
      <w:widowControl w:val="off"/>
    </w:pPr>
  </w:style>
  <w:style w:type="paragraph" w:styleId="841">
    <w:name w:val="Style19"/>
    <w:basedOn w:val="766"/>
    <w:next w:val="841"/>
    <w:link w:val="766"/>
    <w:uiPriority w:val="99"/>
    <w:pPr>
      <w:spacing w:line="320" w:lineRule="exact"/>
      <w:widowControl w:val="off"/>
    </w:pPr>
  </w:style>
  <w:style w:type="paragraph" w:styleId="842">
    <w:name w:val="Style25"/>
    <w:basedOn w:val="766"/>
    <w:next w:val="842"/>
    <w:link w:val="766"/>
    <w:uiPriority w:val="99"/>
    <w:pPr>
      <w:widowControl w:val="off"/>
    </w:pPr>
  </w:style>
  <w:style w:type="paragraph" w:styleId="843">
    <w:name w:val="Style32"/>
    <w:basedOn w:val="766"/>
    <w:next w:val="843"/>
    <w:link w:val="766"/>
    <w:uiPriority w:val="99"/>
    <w:pPr>
      <w:jc w:val="both"/>
      <w:widowControl w:val="off"/>
    </w:pPr>
  </w:style>
  <w:style w:type="character" w:styleId="844">
    <w:name w:val="Font Style51"/>
    <w:next w:val="844"/>
    <w:link w:val="766"/>
    <w:uiPriority w:val="99"/>
    <w:rPr>
      <w:rFonts w:ascii="Times New Roman" w:hAnsi="Times New Roman"/>
      <w:b/>
      <w:sz w:val="26"/>
    </w:rPr>
  </w:style>
  <w:style w:type="character" w:styleId="845">
    <w:name w:val="Font Style53"/>
    <w:next w:val="845"/>
    <w:link w:val="766"/>
    <w:uiPriority w:val="99"/>
    <w:rPr>
      <w:rFonts w:ascii="Times New Roman" w:hAnsi="Times New Roman"/>
      <w:sz w:val="26"/>
    </w:rPr>
  </w:style>
  <w:style w:type="paragraph" w:styleId="846">
    <w:name w:val="ConsPlusNormal"/>
    <w:next w:val="846"/>
    <w:link w:val="766"/>
    <w:pPr>
      <w:ind w:left="924" w:firstLine="720"/>
    </w:pPr>
    <w:rPr>
      <w:rFonts w:ascii="Arial" w:hAnsi="Arial" w:cs="Arial"/>
      <w:sz w:val="22"/>
      <w:szCs w:val="22"/>
      <w:lang w:val="ru-RU" w:eastAsia="ru-RU" w:bidi="ar-SA"/>
    </w:rPr>
  </w:style>
  <w:style w:type="paragraph" w:styleId="847">
    <w:name w:val="ConsPlusNonformat"/>
    <w:next w:val="847"/>
    <w:link w:val="766"/>
    <w:uiPriority w:val="99"/>
    <w:pPr>
      <w:ind w:left="924" w:firstLine="357"/>
      <w:widowControl w:val="off"/>
    </w:pPr>
    <w:rPr>
      <w:rFonts w:ascii="Courier New" w:hAnsi="Courier New" w:cs="Courier New"/>
      <w:sz w:val="22"/>
      <w:szCs w:val="22"/>
      <w:lang w:val="ru-RU" w:eastAsia="ru-RU" w:bidi="ar-SA"/>
    </w:rPr>
  </w:style>
  <w:style w:type="paragraph" w:styleId="848">
    <w:name w:val="ConsPlusCell"/>
    <w:next w:val="848"/>
    <w:link w:val="766"/>
    <w:uiPriority w:val="99"/>
    <w:pPr>
      <w:ind w:left="924" w:firstLine="357"/>
      <w:widowControl w:val="off"/>
    </w:pPr>
    <w:rPr>
      <w:rFonts w:ascii="Arial" w:hAnsi="Arial" w:cs="Arial"/>
      <w:sz w:val="22"/>
      <w:szCs w:val="22"/>
      <w:lang w:val="ru-RU" w:eastAsia="ru-RU" w:bidi="ar-SA"/>
    </w:rPr>
  </w:style>
  <w:style w:type="paragraph" w:styleId="849">
    <w:name w:val="Heading"/>
    <w:next w:val="849"/>
    <w:link w:val="766"/>
    <w:uiPriority w:val="99"/>
    <w:pPr>
      <w:ind w:left="924" w:firstLine="357"/>
    </w:pPr>
    <w:rPr>
      <w:rFonts w:ascii="Arial" w:hAnsi="Arial"/>
      <w:b/>
      <w:sz w:val="22"/>
      <w:szCs w:val="22"/>
      <w:lang w:val="ru-RU" w:eastAsia="ru-RU" w:bidi="ar-SA"/>
    </w:rPr>
  </w:style>
  <w:style w:type="paragraph" w:styleId="850">
    <w:name w:val="Style4"/>
    <w:basedOn w:val="766"/>
    <w:next w:val="850"/>
    <w:link w:val="766"/>
    <w:uiPriority w:val="99"/>
    <w:pPr>
      <w:widowControl w:val="off"/>
    </w:pPr>
  </w:style>
  <w:style w:type="paragraph" w:styleId="851">
    <w:name w:val="Style6"/>
    <w:basedOn w:val="766"/>
    <w:next w:val="851"/>
    <w:link w:val="766"/>
    <w:uiPriority w:val="99"/>
    <w:pPr>
      <w:jc w:val="center"/>
      <w:widowControl w:val="off"/>
    </w:pPr>
  </w:style>
  <w:style w:type="paragraph" w:styleId="852">
    <w:name w:val="Style9"/>
    <w:basedOn w:val="766"/>
    <w:next w:val="852"/>
    <w:link w:val="766"/>
    <w:uiPriority w:val="99"/>
    <w:pPr>
      <w:widowControl w:val="off"/>
    </w:pPr>
  </w:style>
  <w:style w:type="paragraph" w:styleId="853">
    <w:name w:val="Style12"/>
    <w:basedOn w:val="766"/>
    <w:next w:val="853"/>
    <w:link w:val="766"/>
    <w:uiPriority w:val="99"/>
    <w:pPr>
      <w:jc w:val="both"/>
      <w:spacing w:line="346" w:lineRule="exact"/>
      <w:widowControl w:val="off"/>
    </w:pPr>
  </w:style>
  <w:style w:type="paragraph" w:styleId="854">
    <w:name w:val="Style13"/>
    <w:basedOn w:val="766"/>
    <w:next w:val="854"/>
    <w:link w:val="766"/>
    <w:uiPriority w:val="99"/>
    <w:pPr>
      <w:jc w:val="center"/>
      <w:spacing w:line="281" w:lineRule="exact"/>
      <w:widowControl w:val="off"/>
    </w:pPr>
  </w:style>
  <w:style w:type="paragraph" w:styleId="855">
    <w:name w:val="Style14"/>
    <w:basedOn w:val="766"/>
    <w:next w:val="855"/>
    <w:link w:val="766"/>
    <w:uiPriority w:val="99"/>
    <w:pPr>
      <w:jc w:val="center"/>
      <w:spacing w:line="230" w:lineRule="exact"/>
      <w:widowControl w:val="off"/>
    </w:pPr>
  </w:style>
  <w:style w:type="character" w:styleId="856">
    <w:name w:val="Font Style17"/>
    <w:next w:val="856"/>
    <w:link w:val="766"/>
    <w:uiPriority w:val="99"/>
    <w:rPr>
      <w:rFonts w:ascii="Times New Roman" w:hAnsi="Times New Roman"/>
      <w:b/>
      <w:sz w:val="22"/>
    </w:rPr>
  </w:style>
  <w:style w:type="character" w:styleId="857">
    <w:name w:val="Font Style18"/>
    <w:next w:val="857"/>
    <w:link w:val="766"/>
    <w:uiPriority w:val="99"/>
    <w:rPr>
      <w:rFonts w:ascii="Times New Roman" w:hAnsi="Times New Roman"/>
      <w:sz w:val="22"/>
    </w:rPr>
  </w:style>
  <w:style w:type="character" w:styleId="858">
    <w:name w:val="Font Style20"/>
    <w:next w:val="858"/>
    <w:link w:val="766"/>
    <w:uiPriority w:val="99"/>
    <w:rPr>
      <w:rFonts w:ascii="Times New Roman" w:hAnsi="Times New Roman"/>
      <w:sz w:val="18"/>
    </w:rPr>
  </w:style>
  <w:style w:type="paragraph" w:styleId="859">
    <w:name w:val="Текст концевой сноски"/>
    <w:basedOn w:val="766"/>
    <w:next w:val="859"/>
    <w:link w:val="860"/>
    <w:uiPriority w:val="99"/>
    <w:rPr>
      <w:sz w:val="20"/>
      <w:szCs w:val="20"/>
      <w:lang w:val="en-US" w:eastAsia="en-US"/>
    </w:rPr>
  </w:style>
  <w:style w:type="character" w:styleId="860">
    <w:name w:val="Текст концевой сноски Знак"/>
    <w:next w:val="860"/>
    <w:link w:val="859"/>
    <w:uiPriority w:val="99"/>
    <w:rPr>
      <w:rFonts w:ascii="Times New Roman" w:hAnsi="Times New Roman" w:cs="Times New Roman"/>
      <w:sz w:val="20"/>
      <w:szCs w:val="20"/>
    </w:rPr>
  </w:style>
  <w:style w:type="character" w:styleId="861">
    <w:name w:val="Гиперссылка"/>
    <w:next w:val="861"/>
    <w:link w:val="766"/>
    <w:uiPriority w:val="99"/>
    <w:rPr>
      <w:rFonts w:cs="Times New Roman"/>
      <w:color w:val="0000ff"/>
      <w:u w:val="single"/>
    </w:rPr>
  </w:style>
  <w:style w:type="paragraph" w:styleId="862">
    <w:name w:val="Заголовок"/>
    <w:basedOn w:val="766"/>
    <w:next w:val="766"/>
    <w:link w:val="863"/>
    <w:uiPriority w:val="10"/>
    <w:qFormat/>
    <w:pPr>
      <w:jc w:val="center"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character" w:styleId="863">
    <w:name w:val="Заголовок Знак"/>
    <w:next w:val="863"/>
    <w:link w:val="862"/>
    <w:uiPriority w:val="10"/>
    <w:rPr>
      <w:rFonts w:ascii="Cambria" w:hAnsi="Cambria" w:eastAsia="Times New Roman" w:cs="Times New Roman"/>
      <w:b/>
      <w:bCs/>
      <w:sz w:val="32"/>
      <w:szCs w:val="32"/>
    </w:rPr>
  </w:style>
  <w:style w:type="paragraph" w:styleId="864">
    <w:name w:val="ConsNonformat"/>
    <w:next w:val="864"/>
    <w:link w:val="766"/>
    <w:uiPriority w:val="99"/>
    <w:pPr>
      <w:ind w:left="924" w:right="19772" w:firstLine="357"/>
    </w:pPr>
    <w:rPr>
      <w:rFonts w:ascii="Courier New" w:hAnsi="Courier New" w:cs="Courier New"/>
      <w:sz w:val="22"/>
      <w:szCs w:val="22"/>
      <w:lang w:val="ru-RU" w:eastAsia="ru-RU" w:bidi="ar-SA"/>
    </w:rPr>
  </w:style>
  <w:style w:type="paragraph" w:styleId="865">
    <w:name w:val="Personal Name"/>
    <w:basedOn w:val="862"/>
    <w:next w:val="865"/>
    <w:link w:val="766"/>
    <w:uiPriority w:val="99"/>
    <w:pPr>
      <w:contextualSpacing/>
      <w:jc w:val="left"/>
      <w:spacing w:after="120"/>
    </w:pPr>
    <w:rPr>
      <w:rFonts w:ascii="Impact" w:hAnsi="Impact"/>
      <w:caps/>
      <w:spacing w:val="30"/>
      <w:sz w:val="28"/>
      <w:szCs w:val="28"/>
    </w:rPr>
  </w:style>
  <w:style w:type="paragraph" w:styleId="866">
    <w:name w:val="Название объекта"/>
    <w:basedOn w:val="766"/>
    <w:next w:val="766"/>
    <w:link w:val="766"/>
    <w:uiPriority w:val="35"/>
    <w:semiHidden/>
    <w:unhideWhenUsed/>
    <w:pPr>
      <w:spacing w:after="200"/>
    </w:pPr>
    <w:rPr>
      <w:i/>
      <w:iCs/>
      <w:color w:val="44546a"/>
      <w:sz w:val="18"/>
      <w:szCs w:val="18"/>
    </w:rPr>
  </w:style>
  <w:style w:type="paragraph" w:styleId="867">
    <w:name w:val="Подзаголовок"/>
    <w:basedOn w:val="766"/>
    <w:next w:val="766"/>
    <w:link w:val="868"/>
    <w:uiPriority w:val="11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68">
    <w:name w:val="Подзаголовок Знак"/>
    <w:next w:val="868"/>
    <w:link w:val="867"/>
    <w:uiPriority w:val="11"/>
    <w:rPr>
      <w:rFonts w:ascii="Cambria" w:hAnsi="Cambria" w:eastAsia="Times New Roman"/>
      <w:sz w:val="24"/>
      <w:szCs w:val="24"/>
    </w:rPr>
  </w:style>
  <w:style w:type="paragraph" w:styleId="869">
    <w:name w:val="Без интервала"/>
    <w:basedOn w:val="766"/>
    <w:next w:val="869"/>
    <w:link w:val="870"/>
    <w:uiPriority w:val="1"/>
    <w:qFormat/>
    <w:rPr>
      <w:rFonts w:ascii="Calibri" w:hAnsi="Calibri"/>
      <w:szCs w:val="32"/>
      <w:lang w:val="en-US" w:eastAsia="en-US"/>
    </w:rPr>
  </w:style>
  <w:style w:type="character" w:styleId="870">
    <w:name w:val="Без интервала Знак"/>
    <w:next w:val="870"/>
    <w:link w:val="869"/>
    <w:uiPriority w:val="1"/>
    <w:rPr>
      <w:sz w:val="24"/>
      <w:szCs w:val="32"/>
    </w:rPr>
  </w:style>
  <w:style w:type="paragraph" w:styleId="871">
    <w:name w:val="Цитата 2"/>
    <w:basedOn w:val="766"/>
    <w:next w:val="766"/>
    <w:link w:val="872"/>
    <w:uiPriority w:val="29"/>
    <w:qFormat/>
    <w:rPr>
      <w:rFonts w:ascii="Calibri" w:hAnsi="Calibri"/>
      <w:i/>
      <w:lang w:val="en-US" w:eastAsia="en-US"/>
    </w:rPr>
  </w:style>
  <w:style w:type="character" w:styleId="872">
    <w:name w:val="Цитата 2 Знак"/>
    <w:next w:val="872"/>
    <w:link w:val="871"/>
    <w:uiPriority w:val="29"/>
    <w:rPr>
      <w:i/>
      <w:sz w:val="24"/>
      <w:szCs w:val="24"/>
    </w:rPr>
  </w:style>
  <w:style w:type="paragraph" w:styleId="873">
    <w:name w:val="Выделенная цитата"/>
    <w:basedOn w:val="766"/>
    <w:next w:val="766"/>
    <w:link w:val="874"/>
    <w:uiPriority w:val="30"/>
    <w:qFormat/>
    <w:pPr>
      <w:ind w:left="720" w:right="720"/>
    </w:pPr>
    <w:rPr>
      <w:rFonts w:ascii="Calibri" w:hAnsi="Calibri"/>
      <w:b/>
      <w:i/>
      <w:szCs w:val="20"/>
      <w:lang w:val="en-US" w:eastAsia="en-US"/>
    </w:rPr>
  </w:style>
  <w:style w:type="character" w:styleId="874">
    <w:name w:val="Выделенная цитата Знак"/>
    <w:next w:val="874"/>
    <w:link w:val="873"/>
    <w:uiPriority w:val="30"/>
    <w:rPr>
      <w:b/>
      <w:i/>
      <w:sz w:val="24"/>
    </w:rPr>
  </w:style>
  <w:style w:type="character" w:styleId="875">
    <w:name w:val="Слабое выделение"/>
    <w:next w:val="875"/>
    <w:link w:val="766"/>
    <w:uiPriority w:val="19"/>
    <w:qFormat/>
    <w:rPr>
      <w:i/>
      <w:color w:val="5a5a5a"/>
    </w:rPr>
  </w:style>
  <w:style w:type="character" w:styleId="876">
    <w:name w:val="Сильное выделение"/>
    <w:next w:val="876"/>
    <w:link w:val="766"/>
    <w:uiPriority w:val="21"/>
    <w:qFormat/>
    <w:rPr>
      <w:b/>
      <w:i/>
      <w:sz w:val="24"/>
      <w:szCs w:val="24"/>
      <w:u w:val="single"/>
    </w:rPr>
  </w:style>
  <w:style w:type="character" w:styleId="877">
    <w:name w:val="Слабая ссылка"/>
    <w:next w:val="877"/>
    <w:link w:val="766"/>
    <w:uiPriority w:val="31"/>
    <w:qFormat/>
    <w:rPr>
      <w:sz w:val="24"/>
      <w:szCs w:val="24"/>
      <w:u w:val="single"/>
    </w:rPr>
  </w:style>
  <w:style w:type="character" w:styleId="878">
    <w:name w:val="Сильная ссылка"/>
    <w:next w:val="878"/>
    <w:link w:val="766"/>
    <w:uiPriority w:val="32"/>
    <w:qFormat/>
    <w:rPr>
      <w:b/>
      <w:sz w:val="24"/>
      <w:u w:val="single"/>
    </w:rPr>
  </w:style>
  <w:style w:type="character" w:styleId="879">
    <w:name w:val="Название книги"/>
    <w:next w:val="879"/>
    <w:link w:val="766"/>
    <w:uiPriority w:val="33"/>
    <w:qFormat/>
    <w:rPr>
      <w:rFonts w:ascii="Cambria" w:hAnsi="Cambria" w:eastAsia="Times New Roman"/>
      <w:b/>
      <w:i/>
      <w:sz w:val="24"/>
      <w:szCs w:val="24"/>
    </w:rPr>
  </w:style>
  <w:style w:type="paragraph" w:styleId="880">
    <w:name w:val="Заголовок оглавления"/>
    <w:basedOn w:val="767"/>
    <w:next w:val="766"/>
    <w:link w:val="766"/>
    <w:uiPriority w:val="39"/>
    <w:unhideWhenUsed/>
    <w:qFormat/>
    <w:pPr>
      <w:outlineLvl w:val="9"/>
    </w:pPr>
    <w:rPr>
      <w:rFonts w:ascii="Calibri Light" w:hAnsi="Calibri Light"/>
    </w:rPr>
  </w:style>
  <w:style w:type="paragraph" w:styleId="881">
    <w:name w:val="FR1"/>
    <w:next w:val="881"/>
    <w:link w:val="766"/>
    <w:uiPriority w:val="99"/>
    <w:pPr>
      <w:ind w:left="3120" w:firstLine="357"/>
      <w:widowControl w:val="off"/>
    </w:pPr>
    <w:rPr>
      <w:rFonts w:ascii="Times New Roman" w:hAnsi="Times New Roman"/>
      <w:sz w:val="24"/>
      <w:szCs w:val="22"/>
      <w:lang w:val="ru-RU" w:eastAsia="ru-RU" w:bidi="ar-SA"/>
    </w:rPr>
  </w:style>
  <w:style w:type="paragraph" w:styleId="882">
    <w:name w:val="ConsCell"/>
    <w:next w:val="882"/>
    <w:link w:val="766"/>
    <w:uiPriority w:val="99"/>
    <w:pPr>
      <w:ind w:left="924" w:right="19772" w:firstLine="357"/>
    </w:pPr>
    <w:rPr>
      <w:rFonts w:ascii="Arial" w:hAnsi="Arial" w:cs="Arial"/>
      <w:sz w:val="22"/>
      <w:szCs w:val="22"/>
      <w:lang w:val="ru-RU" w:eastAsia="ru-RU" w:bidi="ar-SA"/>
    </w:rPr>
  </w:style>
  <w:style w:type="paragraph" w:styleId="883">
    <w:name w:val="Стиль1"/>
    <w:basedOn w:val="766"/>
    <w:next w:val="883"/>
    <w:link w:val="766"/>
    <w:pPr>
      <w:ind w:firstLine="680"/>
    </w:pPr>
    <w:rPr>
      <w:szCs w:val="20"/>
    </w:rPr>
  </w:style>
  <w:style w:type="paragraph" w:styleId="884">
    <w:name w:val="Текст"/>
    <w:basedOn w:val="766"/>
    <w:next w:val="884"/>
    <w:link w:val="885"/>
    <w:uiPriority w:val="99"/>
    <w:rPr>
      <w:rFonts w:ascii="Courier New" w:hAnsi="Courier New"/>
      <w:sz w:val="20"/>
      <w:szCs w:val="20"/>
      <w:lang w:val="en-US" w:eastAsia="en-US"/>
    </w:rPr>
  </w:style>
  <w:style w:type="character" w:styleId="885">
    <w:name w:val="Текст Знак"/>
    <w:next w:val="885"/>
    <w:link w:val="884"/>
    <w:uiPriority w:val="99"/>
    <w:rPr>
      <w:rFonts w:ascii="Courier New" w:hAnsi="Courier New" w:cs="Times New Roman"/>
      <w:sz w:val="20"/>
      <w:szCs w:val="20"/>
    </w:rPr>
  </w:style>
  <w:style w:type="paragraph" w:styleId="886">
    <w:name w:val="Основной текст с отступом 3"/>
    <w:basedOn w:val="766"/>
    <w:next w:val="886"/>
    <w:link w:val="887"/>
    <w:uiPriority w:val="99"/>
    <w:pPr>
      <w:ind w:left="283"/>
      <w:spacing w:after="120"/>
    </w:pPr>
    <w:rPr>
      <w:sz w:val="16"/>
      <w:szCs w:val="16"/>
      <w:lang w:val="en-US" w:eastAsia="en-US"/>
    </w:rPr>
  </w:style>
  <w:style w:type="character" w:styleId="887">
    <w:name w:val="Основной текст с отступом 3 Знак"/>
    <w:next w:val="887"/>
    <w:link w:val="886"/>
    <w:uiPriority w:val="99"/>
    <w:rPr>
      <w:rFonts w:ascii="Times New Roman" w:hAnsi="Times New Roman" w:cs="Times New Roman"/>
      <w:sz w:val="16"/>
      <w:szCs w:val="16"/>
    </w:rPr>
  </w:style>
  <w:style w:type="paragraph" w:styleId="888">
    <w:name w:val="Обычный1"/>
    <w:next w:val="888"/>
    <w:link w:val="766"/>
    <w:uiPriority w:val="99"/>
    <w:pPr>
      <w:ind w:left="924" w:firstLine="357"/>
    </w:pPr>
    <w:rPr>
      <w:rFonts w:ascii="Times New Roman" w:hAnsi="Times New Roman"/>
      <w:sz w:val="22"/>
      <w:szCs w:val="22"/>
      <w:lang w:val="ru-RU" w:eastAsia="ru-RU" w:bidi="ar-SA"/>
    </w:rPr>
  </w:style>
  <w:style w:type="paragraph" w:styleId="889">
    <w:name w:val="НормСтр"/>
    <w:next w:val="889"/>
    <w:link w:val="766"/>
    <w:uiPriority w:val="99"/>
    <w:pPr>
      <w:ind w:left="924" w:firstLine="357"/>
      <w:spacing w:line="360" w:lineRule="auto"/>
    </w:pPr>
    <w:rPr>
      <w:rFonts w:ascii="Times New Roman" w:hAnsi="Times New Roman"/>
      <w:sz w:val="24"/>
      <w:szCs w:val="22"/>
      <w:lang w:val="ru-RU" w:eastAsia="en-US" w:bidi="ar-SA"/>
    </w:rPr>
  </w:style>
  <w:style w:type="paragraph" w:styleId="890">
    <w:name w:val="КрасСтр"/>
    <w:next w:val="890"/>
    <w:link w:val="766"/>
    <w:uiPriority w:val="99"/>
    <w:pPr>
      <w:ind w:left="924" w:firstLine="737"/>
      <w:jc w:val="both"/>
      <w:spacing w:line="360" w:lineRule="auto"/>
    </w:pPr>
    <w:rPr>
      <w:rFonts w:ascii="Times New Roman" w:hAnsi="Times New Roman"/>
      <w:sz w:val="24"/>
      <w:szCs w:val="22"/>
      <w:lang w:val="ru-RU" w:eastAsia="en-US" w:bidi="ar-SA"/>
    </w:rPr>
  </w:style>
  <w:style w:type="paragraph" w:styleId="891">
    <w:name w:val="ЗаголТу"/>
    <w:basedOn w:val="890"/>
    <w:next w:val="890"/>
    <w:link w:val="766"/>
    <w:uiPriority w:val="99"/>
    <w:pPr>
      <w:ind w:firstLine="0"/>
      <w:jc w:val="center"/>
      <w:pageBreakBefore/>
    </w:pPr>
    <w:rPr>
      <w:caps/>
    </w:rPr>
  </w:style>
  <w:style w:type="paragraph" w:styleId="892">
    <w:name w:val="H3"/>
    <w:basedOn w:val="766"/>
    <w:next w:val="766"/>
    <w:link w:val="766"/>
    <w:uiPriority w:val="99"/>
    <w:pPr>
      <w:keepNext/>
      <w:spacing w:before="100" w:after="100"/>
      <w:outlineLvl w:val="3"/>
    </w:pPr>
    <w:rPr>
      <w:b/>
      <w:sz w:val="28"/>
      <w:szCs w:val="20"/>
    </w:rPr>
  </w:style>
  <w:style w:type="paragraph" w:styleId="893">
    <w:name w:val="H4"/>
    <w:basedOn w:val="766"/>
    <w:next w:val="766"/>
    <w:link w:val="766"/>
    <w:uiPriority w:val="99"/>
    <w:pPr>
      <w:keepNext/>
      <w:spacing w:before="100" w:after="100"/>
      <w:outlineLvl w:val="4"/>
    </w:pPr>
    <w:rPr>
      <w:b/>
      <w:szCs w:val="20"/>
    </w:rPr>
  </w:style>
  <w:style w:type="paragraph" w:styleId="894">
    <w:name w:val="Оглавление 1"/>
    <w:basedOn w:val="766"/>
    <w:next w:val="766"/>
    <w:link w:val="766"/>
    <w:uiPriority w:val="39"/>
    <w:pPr>
      <w:ind w:left="0"/>
      <w:spacing w:before="120" w:after="120"/>
      <w:tabs>
        <w:tab w:val="right" w:pos="9629" w:leader="dot"/>
      </w:tabs>
    </w:pPr>
    <w:rPr>
      <w:rFonts w:cs="Calibri"/>
      <w:bCs/>
      <w:caps/>
      <w:szCs w:val="20"/>
    </w:rPr>
  </w:style>
  <w:style w:type="paragraph" w:styleId="895">
    <w:name w:val="Основной текст 3"/>
    <w:basedOn w:val="766"/>
    <w:next w:val="895"/>
    <w:link w:val="896"/>
    <w:uiPriority w:val="99"/>
    <w:pPr>
      <w:jc w:val="both"/>
    </w:pPr>
    <w:rPr>
      <w:sz w:val="20"/>
      <w:szCs w:val="20"/>
      <w:lang w:val="en-US" w:eastAsia="en-US"/>
    </w:rPr>
  </w:style>
  <w:style w:type="character" w:styleId="896">
    <w:name w:val="Основной текст 3 Знак"/>
    <w:next w:val="896"/>
    <w:link w:val="895"/>
    <w:uiPriority w:val="99"/>
    <w:rPr>
      <w:rFonts w:ascii="Times New Roman" w:hAnsi="Times New Roman"/>
      <w:lang w:val="en-US" w:eastAsia="en-US"/>
    </w:rPr>
  </w:style>
  <w:style w:type="character" w:styleId="897">
    <w:name w:val="Просмотренная гиперссылка"/>
    <w:next w:val="897"/>
    <w:link w:val="766"/>
    <w:uiPriority w:val="99"/>
    <w:rPr>
      <w:rFonts w:cs="Times New Roman"/>
      <w:color w:val="800080"/>
      <w:u w:val="single"/>
    </w:rPr>
  </w:style>
  <w:style w:type="paragraph" w:styleId="898">
    <w:name w:val="Стандартный HTML"/>
    <w:basedOn w:val="766"/>
    <w:next w:val="898"/>
    <w:link w:val="899"/>
    <w:uiPriority w:val="9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en-US" w:eastAsia="en-US"/>
    </w:rPr>
  </w:style>
  <w:style w:type="character" w:styleId="899">
    <w:name w:val="Стандартный HTML Знак"/>
    <w:next w:val="899"/>
    <w:link w:val="898"/>
    <w:uiPriority w:val="99"/>
    <w:rPr>
      <w:rFonts w:ascii="Courier New" w:hAnsi="Courier New" w:cs="Courier New"/>
      <w:sz w:val="20"/>
      <w:szCs w:val="20"/>
    </w:rPr>
  </w:style>
  <w:style w:type="paragraph" w:styleId="900">
    <w:name w:val="Маркированный список 2"/>
    <w:basedOn w:val="766"/>
    <w:next w:val="900"/>
    <w:link w:val="766"/>
    <w:uiPriority w:val="99"/>
    <w:pPr>
      <w:numPr>
        <w:ilvl w:val="0"/>
        <w:numId w:val="3"/>
      </w:numPr>
    </w:pPr>
    <w:rPr>
      <w:sz w:val="20"/>
      <w:szCs w:val="20"/>
    </w:rPr>
  </w:style>
  <w:style w:type="paragraph" w:styleId="901">
    <w:name w:val="Список"/>
    <w:basedOn w:val="766"/>
    <w:next w:val="901"/>
    <w:link w:val="766"/>
    <w:uiPriority w:val="99"/>
    <w:pPr>
      <w:ind w:left="283" w:hanging="283"/>
    </w:pPr>
  </w:style>
  <w:style w:type="paragraph" w:styleId="902">
    <w:name w:val="Список 2"/>
    <w:basedOn w:val="766"/>
    <w:next w:val="902"/>
    <w:link w:val="766"/>
    <w:uiPriority w:val="99"/>
    <w:pPr>
      <w:ind w:left="566" w:hanging="283"/>
    </w:pPr>
  </w:style>
  <w:style w:type="paragraph" w:styleId="903">
    <w:name w:val="Маркированный список"/>
    <w:basedOn w:val="766"/>
    <w:next w:val="903"/>
    <w:link w:val="766"/>
    <w:uiPriority w:val="99"/>
    <w:pPr>
      <w:numPr>
        <w:ilvl w:val="0"/>
        <w:numId w:val="1"/>
      </w:numPr>
    </w:pPr>
    <w:rPr>
      <w:sz w:val="20"/>
      <w:szCs w:val="20"/>
      <w:lang w:eastAsia="en-US"/>
    </w:rPr>
  </w:style>
  <w:style w:type="paragraph" w:styleId="904">
    <w:name w:val="Paragraph2"/>
    <w:basedOn w:val="766"/>
    <w:next w:val="904"/>
    <w:link w:val="766"/>
    <w:uiPriority w:val="99"/>
    <w:pPr>
      <w:keepNext/>
      <w:spacing w:after="120"/>
      <w:tabs>
        <w:tab w:val="left" w:pos="1571" w:leader="none"/>
      </w:tabs>
    </w:pPr>
    <w:rPr>
      <w:szCs w:val="20"/>
    </w:rPr>
  </w:style>
  <w:style w:type="character" w:styleId="905">
    <w:name w:val="tx1"/>
    <w:next w:val="905"/>
    <w:link w:val="766"/>
    <w:uiPriority w:val="99"/>
    <w:rPr>
      <w:rFonts w:ascii="Tahoma" w:hAnsi="Tahoma" w:cs="Tahoma"/>
      <w:b/>
      <w:bCs/>
      <w:color w:val="000000"/>
      <w:sz w:val="17"/>
      <w:szCs w:val="17"/>
    </w:rPr>
  </w:style>
  <w:style w:type="character" w:styleId="906">
    <w:name w:val="Document Map Char"/>
    <w:next w:val="906"/>
    <w:link w:val="766"/>
    <w:uiPriority w:val="99"/>
    <w:semiHidden/>
    <w:rPr>
      <w:rFonts w:ascii="Tahoma" w:hAnsi="Tahoma"/>
      <w:sz w:val="20"/>
      <w:shd w:val="clear" w:color="auto" w:fill="000080"/>
    </w:rPr>
  </w:style>
  <w:style w:type="paragraph" w:styleId="907">
    <w:name w:val="Схема документа"/>
    <w:basedOn w:val="766"/>
    <w:next w:val="907"/>
    <w:link w:val="908"/>
    <w:uiPriority w:val="99"/>
    <w:semiHidden/>
    <w:pPr>
      <w:ind w:firstLine="320"/>
      <w:jc w:val="both"/>
      <w:shd w:val="clear" w:color="auto" w:fill="000080"/>
      <w:widowControl w:val="off"/>
    </w:pPr>
    <w:rPr>
      <w:sz w:val="2"/>
      <w:szCs w:val="20"/>
      <w:lang w:val="en-US" w:eastAsia="en-US"/>
    </w:rPr>
  </w:style>
  <w:style w:type="character" w:styleId="908">
    <w:name w:val="Схема документа Знак"/>
    <w:next w:val="908"/>
    <w:link w:val="907"/>
    <w:uiPriority w:val="99"/>
    <w:semiHidden/>
    <w:rPr>
      <w:rFonts w:ascii="Times New Roman" w:hAnsi="Times New Roman"/>
      <w:sz w:val="2"/>
      <w:shd w:val="clear" w:color="auto" w:fill="000080"/>
      <w:lang w:val="en-US" w:eastAsia="en-US"/>
    </w:rPr>
  </w:style>
  <w:style w:type="paragraph" w:styleId="909">
    <w:name w:val="headertext topleveltext centertext"/>
    <w:basedOn w:val="766"/>
    <w:next w:val="909"/>
    <w:link w:val="766"/>
    <w:uiPriority w:val="99"/>
    <w:pPr>
      <w:spacing w:before="100" w:beforeAutospacing="1" w:after="100" w:afterAutospacing="1"/>
    </w:pPr>
  </w:style>
  <w:style w:type="paragraph" w:styleId="910">
    <w:name w:val="Абзац списка1"/>
    <w:basedOn w:val="766"/>
    <w:next w:val="910"/>
    <w:link w:val="766"/>
    <w:uiPriority w:val="99"/>
    <w:pPr>
      <w:contextualSpacing/>
      <w:ind w:left="720"/>
      <w:jc w:val="center"/>
    </w:pPr>
    <w:rPr>
      <w:lang w:eastAsia="en-US"/>
    </w:rPr>
  </w:style>
  <w:style w:type="character" w:styleId="911">
    <w:name w:val="Знак Знак1"/>
    <w:next w:val="911"/>
    <w:link w:val="766"/>
    <w:uiPriority w:val="99"/>
    <w:rPr>
      <w:rFonts w:ascii="Times New Roman" w:hAnsi="Times New Roman"/>
      <w:sz w:val="24"/>
      <w:lang w:eastAsia="ru-RU"/>
    </w:rPr>
  </w:style>
  <w:style w:type="paragraph" w:styleId="912">
    <w:name w:val="Письмо1"/>
    <w:basedOn w:val="884"/>
    <w:next w:val="912"/>
    <w:link w:val="766"/>
    <w:pPr>
      <w:ind w:firstLine="720"/>
      <w:jc w:val="both"/>
      <w:spacing w:after="120"/>
    </w:pPr>
    <w:rPr>
      <w:rFonts w:ascii="Times New Roman" w:hAnsi="Times New Roman"/>
      <w:color w:val="000000"/>
      <w:sz w:val="24"/>
      <w:szCs w:val="24"/>
    </w:rPr>
  </w:style>
  <w:style w:type="paragraph" w:styleId="913">
    <w:name w:val="Цитата"/>
    <w:basedOn w:val="766"/>
    <w:next w:val="913"/>
    <w:link w:val="766"/>
    <w:uiPriority w:val="99"/>
    <w:semiHidden/>
    <w:pPr>
      <w:ind w:left="97" w:right="97" w:firstLine="611"/>
      <w:jc w:val="both"/>
    </w:pPr>
    <w:rPr>
      <w:color w:val="000000"/>
      <w:sz w:val="28"/>
      <w:szCs w:val="28"/>
    </w:rPr>
  </w:style>
  <w:style w:type="paragraph" w:styleId="914">
    <w:name w:val="Иванов"/>
    <w:basedOn w:val="915"/>
    <w:next w:val="914"/>
    <w:link w:val="766"/>
    <w:pPr>
      <w:contextualSpacing w:val="0"/>
      <w:ind w:left="0" w:firstLine="0"/>
      <w:tabs>
        <w:tab w:val="clear" w:pos="720" w:leader="none"/>
      </w:tabs>
    </w:pPr>
    <w:rPr>
      <w:bCs/>
      <w:sz w:val="28"/>
      <w:szCs w:val="16"/>
      <w:lang w:val="en-US"/>
    </w:rPr>
  </w:style>
  <w:style w:type="paragraph" w:styleId="915">
    <w:name w:val="Нумерованный список 5"/>
    <w:basedOn w:val="766"/>
    <w:next w:val="915"/>
    <w:link w:val="766"/>
    <w:uiPriority w:val="99"/>
    <w:semiHidden/>
    <w:pPr>
      <w:contextualSpacing/>
      <w:ind w:left="720" w:hanging="360"/>
      <w:tabs>
        <w:tab w:val="num" w:pos="720" w:leader="none"/>
      </w:tabs>
    </w:pPr>
  </w:style>
  <w:style w:type="character" w:styleId="916">
    <w:name w:val="match"/>
    <w:next w:val="916"/>
    <w:link w:val="766"/>
    <w:uiPriority w:val="99"/>
    <w:rPr>
      <w:rFonts w:cs="Times New Roman"/>
    </w:rPr>
  </w:style>
  <w:style w:type="paragraph" w:styleId="917">
    <w:name w:val="Style31"/>
    <w:basedOn w:val="766"/>
    <w:next w:val="917"/>
    <w:link w:val="766"/>
    <w:uiPriority w:val="99"/>
    <w:pPr>
      <w:ind w:firstLine="470"/>
      <w:jc w:val="both"/>
      <w:spacing w:line="240" w:lineRule="exact"/>
      <w:widowControl w:val="off"/>
    </w:pPr>
    <w:rPr>
      <w:rFonts w:ascii="Arial" w:hAnsi="Arial"/>
    </w:rPr>
  </w:style>
  <w:style w:type="character" w:styleId="918">
    <w:name w:val="Font Style48"/>
    <w:next w:val="918"/>
    <w:link w:val="766"/>
    <w:uiPriority w:val="99"/>
    <w:rPr>
      <w:rFonts w:ascii="Arial" w:hAnsi="Arial" w:cs="Arial"/>
      <w:sz w:val="18"/>
      <w:szCs w:val="18"/>
    </w:rPr>
  </w:style>
  <w:style w:type="paragraph" w:styleId="919">
    <w:name w:val="Style11"/>
    <w:basedOn w:val="766"/>
    <w:next w:val="919"/>
    <w:link w:val="766"/>
    <w:uiPriority w:val="99"/>
    <w:pPr>
      <w:ind w:firstLine="461"/>
      <w:jc w:val="both"/>
      <w:spacing w:line="240" w:lineRule="exact"/>
      <w:widowControl w:val="off"/>
    </w:pPr>
    <w:rPr>
      <w:rFonts w:ascii="Arial" w:hAnsi="Arial"/>
    </w:rPr>
  </w:style>
  <w:style w:type="paragraph" w:styleId="920">
    <w:name w:val="Style17"/>
    <w:basedOn w:val="766"/>
    <w:next w:val="920"/>
    <w:link w:val="766"/>
    <w:uiPriority w:val="99"/>
    <w:pPr>
      <w:widowControl w:val="off"/>
    </w:pPr>
    <w:rPr>
      <w:rFonts w:ascii="Arial" w:hAnsi="Arial"/>
    </w:rPr>
  </w:style>
  <w:style w:type="paragraph" w:styleId="921">
    <w:name w:val="Style20"/>
    <w:basedOn w:val="766"/>
    <w:next w:val="921"/>
    <w:link w:val="766"/>
    <w:uiPriority w:val="99"/>
    <w:pPr>
      <w:widowControl w:val="off"/>
    </w:pPr>
    <w:rPr>
      <w:rFonts w:ascii="Arial" w:hAnsi="Arial"/>
    </w:rPr>
  </w:style>
  <w:style w:type="paragraph" w:styleId="922">
    <w:name w:val="Style34"/>
    <w:basedOn w:val="766"/>
    <w:next w:val="922"/>
    <w:link w:val="766"/>
    <w:uiPriority w:val="99"/>
    <w:pPr>
      <w:ind w:firstLine="446"/>
      <w:spacing w:line="216" w:lineRule="exact"/>
      <w:widowControl w:val="off"/>
    </w:pPr>
    <w:rPr>
      <w:rFonts w:ascii="Arial" w:hAnsi="Arial"/>
    </w:rPr>
  </w:style>
  <w:style w:type="paragraph" w:styleId="923">
    <w:name w:val="Style35"/>
    <w:basedOn w:val="766"/>
    <w:next w:val="923"/>
    <w:link w:val="766"/>
    <w:uiPriority w:val="99"/>
    <w:pPr>
      <w:spacing w:line="192" w:lineRule="exact"/>
      <w:widowControl w:val="off"/>
    </w:pPr>
    <w:rPr>
      <w:rFonts w:ascii="Arial" w:hAnsi="Arial"/>
    </w:rPr>
  </w:style>
  <w:style w:type="paragraph" w:styleId="924">
    <w:name w:val="Style37"/>
    <w:basedOn w:val="766"/>
    <w:next w:val="924"/>
    <w:link w:val="766"/>
    <w:uiPriority w:val="99"/>
    <w:pPr>
      <w:jc w:val="center"/>
      <w:widowControl w:val="off"/>
    </w:pPr>
    <w:rPr>
      <w:rFonts w:ascii="Arial" w:hAnsi="Arial"/>
    </w:rPr>
  </w:style>
  <w:style w:type="character" w:styleId="925">
    <w:name w:val="Font Style45"/>
    <w:next w:val="925"/>
    <w:link w:val="766"/>
    <w:uiPriority w:val="99"/>
    <w:rPr>
      <w:rFonts w:ascii="Arial" w:hAnsi="Arial" w:cs="Arial"/>
      <w:sz w:val="16"/>
      <w:szCs w:val="16"/>
    </w:rPr>
  </w:style>
  <w:style w:type="character" w:styleId="926">
    <w:name w:val="Font Style47"/>
    <w:next w:val="926"/>
    <w:link w:val="766"/>
    <w:uiPriority w:val="99"/>
    <w:rPr>
      <w:rFonts w:ascii="Arial" w:hAnsi="Arial" w:cs="Arial"/>
      <w:b/>
      <w:bCs/>
      <w:sz w:val="18"/>
      <w:szCs w:val="18"/>
    </w:rPr>
  </w:style>
  <w:style w:type="character" w:styleId="927">
    <w:name w:val="Font Style49"/>
    <w:next w:val="927"/>
    <w:link w:val="766"/>
    <w:uiPriority w:val="99"/>
    <w:rPr>
      <w:rFonts w:ascii="Arial" w:hAnsi="Arial" w:cs="Arial"/>
      <w:sz w:val="14"/>
      <w:szCs w:val="14"/>
    </w:rPr>
  </w:style>
  <w:style w:type="paragraph" w:styleId="928">
    <w:name w:val="Style29"/>
    <w:basedOn w:val="766"/>
    <w:next w:val="928"/>
    <w:link w:val="766"/>
    <w:uiPriority w:val="99"/>
    <w:pPr>
      <w:ind w:firstLine="470"/>
      <w:jc w:val="both"/>
      <w:spacing w:line="240" w:lineRule="exact"/>
      <w:widowControl w:val="off"/>
    </w:pPr>
    <w:rPr>
      <w:rFonts w:ascii="Arial" w:hAnsi="Arial"/>
    </w:rPr>
  </w:style>
  <w:style w:type="character" w:styleId="929">
    <w:name w:val="Font Style50"/>
    <w:next w:val="929"/>
    <w:link w:val="766"/>
    <w:uiPriority w:val="99"/>
    <w:rPr>
      <w:rFonts w:ascii="Arial" w:hAnsi="Arial" w:cs="Arial"/>
      <w:sz w:val="18"/>
      <w:szCs w:val="18"/>
    </w:rPr>
  </w:style>
  <w:style w:type="character" w:styleId="930">
    <w:name w:val="Font Style42"/>
    <w:next w:val="930"/>
    <w:link w:val="766"/>
    <w:uiPriority w:val="99"/>
    <w:rPr>
      <w:rFonts w:ascii="Arial" w:hAnsi="Arial" w:cs="Arial"/>
      <w:b/>
      <w:bCs/>
      <w:sz w:val="22"/>
      <w:szCs w:val="22"/>
    </w:rPr>
  </w:style>
  <w:style w:type="paragraph" w:styleId="931">
    <w:name w:val="Style33"/>
    <w:basedOn w:val="766"/>
    <w:next w:val="931"/>
    <w:link w:val="766"/>
    <w:uiPriority w:val="99"/>
    <w:pPr>
      <w:ind w:firstLine="451"/>
      <w:jc w:val="both"/>
      <w:spacing w:line="288" w:lineRule="exact"/>
      <w:widowControl w:val="off"/>
    </w:pPr>
    <w:rPr>
      <w:rFonts w:ascii="Arial" w:hAnsi="Arial"/>
    </w:rPr>
  </w:style>
  <w:style w:type="paragraph" w:styleId="932">
    <w:name w:val="Style1"/>
    <w:basedOn w:val="766"/>
    <w:next w:val="932"/>
    <w:link w:val="766"/>
    <w:uiPriority w:val="99"/>
    <w:pPr>
      <w:widowControl w:val="off"/>
    </w:pPr>
    <w:rPr>
      <w:rFonts w:ascii="Arial" w:hAnsi="Arial"/>
    </w:rPr>
  </w:style>
  <w:style w:type="paragraph" w:styleId="933">
    <w:name w:val="Style21"/>
    <w:basedOn w:val="766"/>
    <w:next w:val="933"/>
    <w:link w:val="766"/>
    <w:uiPriority w:val="99"/>
    <w:pPr>
      <w:widowControl w:val="off"/>
    </w:pPr>
    <w:rPr>
      <w:rFonts w:ascii="Arial" w:hAnsi="Arial"/>
    </w:rPr>
  </w:style>
  <w:style w:type="paragraph" w:styleId="934">
    <w:name w:val="Style27"/>
    <w:basedOn w:val="766"/>
    <w:next w:val="934"/>
    <w:link w:val="766"/>
    <w:uiPriority w:val="99"/>
    <w:pPr>
      <w:jc w:val="both"/>
      <w:spacing w:line="186" w:lineRule="exact"/>
      <w:widowControl w:val="off"/>
    </w:pPr>
    <w:rPr>
      <w:rFonts w:ascii="Arial" w:hAnsi="Arial"/>
    </w:rPr>
  </w:style>
  <w:style w:type="character" w:styleId="935">
    <w:name w:val="Font Style43"/>
    <w:next w:val="935"/>
    <w:link w:val="766"/>
    <w:uiPriority w:val="99"/>
    <w:rPr>
      <w:rFonts w:ascii="Arial" w:hAnsi="Arial" w:cs="Arial"/>
      <w:sz w:val="16"/>
      <w:szCs w:val="16"/>
    </w:rPr>
  </w:style>
  <w:style w:type="paragraph" w:styleId="936">
    <w:name w:val="Style23"/>
    <w:basedOn w:val="766"/>
    <w:next w:val="936"/>
    <w:link w:val="766"/>
    <w:uiPriority w:val="99"/>
    <w:pPr>
      <w:widowControl w:val="off"/>
    </w:pPr>
    <w:rPr>
      <w:rFonts w:ascii="Arial" w:hAnsi="Arial"/>
    </w:rPr>
  </w:style>
  <w:style w:type="character" w:styleId="937">
    <w:name w:val="Font Style40"/>
    <w:next w:val="937"/>
    <w:link w:val="766"/>
    <w:uiPriority w:val="99"/>
    <w:rPr>
      <w:rFonts w:ascii="Candara" w:hAnsi="Candara" w:cs="Candara"/>
      <w:b/>
      <w:bCs/>
      <w:sz w:val="14"/>
      <w:szCs w:val="14"/>
    </w:rPr>
  </w:style>
  <w:style w:type="character" w:styleId="938">
    <w:name w:val="Font Style41"/>
    <w:next w:val="938"/>
    <w:link w:val="766"/>
    <w:uiPriority w:val="99"/>
    <w:rPr>
      <w:rFonts w:ascii="Arial" w:hAnsi="Arial" w:cs="Arial"/>
      <w:sz w:val="16"/>
      <w:szCs w:val="16"/>
    </w:rPr>
  </w:style>
  <w:style w:type="paragraph" w:styleId="939">
    <w:name w:val="Style18"/>
    <w:basedOn w:val="766"/>
    <w:next w:val="939"/>
    <w:link w:val="766"/>
    <w:uiPriority w:val="99"/>
    <w:pPr>
      <w:widowControl w:val="off"/>
    </w:pPr>
    <w:rPr>
      <w:rFonts w:ascii="Arial" w:hAnsi="Arial"/>
    </w:rPr>
  </w:style>
  <w:style w:type="paragraph" w:styleId="940">
    <w:name w:val="Style22"/>
    <w:basedOn w:val="766"/>
    <w:next w:val="940"/>
    <w:link w:val="766"/>
    <w:uiPriority w:val="99"/>
    <w:pPr>
      <w:spacing w:line="278" w:lineRule="exact"/>
      <w:widowControl w:val="off"/>
    </w:pPr>
    <w:rPr>
      <w:rFonts w:ascii="Arial" w:hAnsi="Arial"/>
    </w:rPr>
  </w:style>
  <w:style w:type="character" w:styleId="941">
    <w:name w:val="Знак сноски"/>
    <w:next w:val="941"/>
    <w:link w:val="766"/>
    <w:uiPriority w:val="99"/>
    <w:semiHidden/>
    <w:rPr>
      <w:rFonts w:cs="Times New Roman"/>
      <w:vertAlign w:val="superscript"/>
    </w:rPr>
  </w:style>
  <w:style w:type="paragraph" w:styleId="942">
    <w:name w:val="Текст сноски"/>
    <w:basedOn w:val="766"/>
    <w:next w:val="942"/>
    <w:link w:val="943"/>
    <w:uiPriority w:val="99"/>
    <w:semiHidden/>
    <w:rPr>
      <w:rFonts w:ascii="Calibri" w:hAnsi="Calibri"/>
      <w:sz w:val="20"/>
      <w:szCs w:val="20"/>
      <w:lang w:val="en-US" w:eastAsia="en-US"/>
    </w:rPr>
  </w:style>
  <w:style w:type="character" w:styleId="943">
    <w:name w:val="Текст сноски Знак"/>
    <w:next w:val="943"/>
    <w:link w:val="942"/>
    <w:uiPriority w:val="99"/>
    <w:semiHidden/>
    <w:rPr>
      <w:lang w:val="en-US" w:eastAsia="en-US"/>
    </w:rPr>
  </w:style>
  <w:style w:type="paragraph" w:styleId="944">
    <w:name w:val="Body Text 21"/>
    <w:basedOn w:val="766"/>
    <w:next w:val="944"/>
    <w:link w:val="766"/>
    <w:uiPriority w:val="99"/>
    <w:pPr>
      <w:ind w:firstLine="709"/>
      <w:jc w:val="both"/>
    </w:pPr>
    <w:rPr>
      <w:szCs w:val="20"/>
    </w:rPr>
  </w:style>
  <w:style w:type="paragraph" w:styleId="945">
    <w:name w:val="Body Text Indent 21"/>
    <w:basedOn w:val="766"/>
    <w:next w:val="945"/>
    <w:link w:val="766"/>
    <w:uiPriority w:val="99"/>
    <w:pPr>
      <w:ind w:firstLine="720"/>
    </w:pPr>
    <w:rPr>
      <w:position w:val="-4"/>
      <w:szCs w:val="20"/>
    </w:rPr>
  </w:style>
  <w:style w:type="paragraph" w:styleId="946">
    <w:name w:val="Normal1"/>
    <w:next w:val="946"/>
    <w:link w:val="766"/>
    <w:uiPriority w:val="99"/>
    <w:pPr>
      <w:ind w:left="924" w:firstLine="357"/>
    </w:pPr>
    <w:rPr>
      <w:rFonts w:ascii="Times New Roman" w:hAnsi="Times New Roman"/>
      <w:sz w:val="24"/>
      <w:szCs w:val="22"/>
      <w:lang w:val="ru-RU" w:eastAsia="ru-RU" w:bidi="ar-SA"/>
    </w:rPr>
  </w:style>
  <w:style w:type="paragraph" w:styleId="947">
    <w:name w:val="çàãîëîâîê 7"/>
    <w:basedOn w:val="766"/>
    <w:next w:val="766"/>
    <w:link w:val="766"/>
    <w:uiPriority w:val="99"/>
    <w:pPr>
      <w:jc w:val="center"/>
      <w:keepNext/>
    </w:pPr>
    <w:rPr>
      <w:szCs w:val="20"/>
    </w:rPr>
  </w:style>
  <w:style w:type="paragraph" w:styleId="948">
    <w:name w:val="Style16"/>
    <w:basedOn w:val="766"/>
    <w:next w:val="948"/>
    <w:link w:val="766"/>
    <w:uiPriority w:val="99"/>
    <w:pPr>
      <w:jc w:val="both"/>
      <w:widowControl w:val="off"/>
    </w:pPr>
    <w:rPr>
      <w:rFonts w:ascii="Arial" w:hAnsi="Arial"/>
    </w:rPr>
  </w:style>
  <w:style w:type="paragraph" w:styleId="949">
    <w:name w:val="Style28"/>
    <w:basedOn w:val="766"/>
    <w:next w:val="949"/>
    <w:link w:val="766"/>
    <w:uiPriority w:val="99"/>
    <w:pPr>
      <w:ind w:hanging="451"/>
      <w:spacing w:line="235" w:lineRule="exact"/>
      <w:widowControl w:val="off"/>
    </w:pPr>
    <w:rPr>
      <w:rFonts w:ascii="Arial" w:hAnsi="Arial"/>
    </w:rPr>
  </w:style>
  <w:style w:type="paragraph" w:styleId="950">
    <w:name w:val="Style30"/>
    <w:basedOn w:val="766"/>
    <w:next w:val="950"/>
    <w:link w:val="766"/>
    <w:uiPriority w:val="99"/>
    <w:pPr>
      <w:ind w:firstLine="470"/>
      <w:jc w:val="both"/>
      <w:spacing w:line="247" w:lineRule="exact"/>
      <w:widowControl w:val="off"/>
    </w:pPr>
    <w:rPr>
      <w:rFonts w:ascii="Arial" w:hAnsi="Arial"/>
    </w:rPr>
  </w:style>
  <w:style w:type="character" w:styleId="951">
    <w:name w:val="Font Style37"/>
    <w:next w:val="951"/>
    <w:link w:val="766"/>
    <w:uiPriority w:val="99"/>
    <w:rPr>
      <w:rFonts w:ascii="Constantia" w:hAnsi="Constantia" w:cs="Constantia"/>
      <w:sz w:val="18"/>
      <w:szCs w:val="18"/>
    </w:rPr>
  </w:style>
  <w:style w:type="character" w:styleId="952">
    <w:name w:val="Font Style38"/>
    <w:next w:val="952"/>
    <w:link w:val="766"/>
    <w:uiPriority w:val="99"/>
    <w:rPr>
      <w:rFonts w:ascii="Arial" w:hAnsi="Arial" w:cs="Arial"/>
      <w:b/>
      <w:bCs/>
      <w:i/>
      <w:iCs/>
      <w:sz w:val="8"/>
      <w:szCs w:val="8"/>
    </w:rPr>
  </w:style>
  <w:style w:type="character" w:styleId="953">
    <w:name w:val="Font Style39"/>
    <w:next w:val="953"/>
    <w:link w:val="766"/>
    <w:uiPriority w:val="99"/>
    <w:rPr>
      <w:rFonts w:ascii="Arial" w:hAnsi="Arial" w:cs="Arial"/>
      <w:spacing w:val="-20"/>
      <w:sz w:val="20"/>
      <w:szCs w:val="20"/>
    </w:rPr>
  </w:style>
  <w:style w:type="character" w:styleId="954">
    <w:name w:val="Font Style46"/>
    <w:next w:val="954"/>
    <w:link w:val="766"/>
    <w:uiPriority w:val="99"/>
    <w:rPr>
      <w:rFonts w:ascii="Arial" w:hAnsi="Arial" w:cs="Arial"/>
      <w:b/>
      <w:bCs/>
      <w:sz w:val="22"/>
      <w:szCs w:val="22"/>
    </w:rPr>
  </w:style>
  <w:style w:type="paragraph" w:styleId="955">
    <w:name w:val="Style24"/>
    <w:basedOn w:val="766"/>
    <w:next w:val="955"/>
    <w:link w:val="766"/>
    <w:uiPriority w:val="99"/>
    <w:pPr>
      <w:widowControl w:val="off"/>
    </w:pPr>
    <w:rPr>
      <w:rFonts w:ascii="Arial" w:hAnsi="Arial"/>
    </w:rPr>
  </w:style>
  <w:style w:type="character" w:styleId="956">
    <w:name w:val="Font Style31"/>
    <w:next w:val="956"/>
    <w:link w:val="766"/>
    <w:uiPriority w:val="99"/>
    <w:rPr>
      <w:rFonts w:ascii="Arial" w:hAnsi="Arial" w:cs="Arial"/>
      <w:sz w:val="18"/>
      <w:szCs w:val="18"/>
    </w:rPr>
  </w:style>
  <w:style w:type="character" w:styleId="957">
    <w:name w:val="Font Style32"/>
    <w:next w:val="957"/>
    <w:link w:val="766"/>
    <w:uiPriority w:val="99"/>
    <w:rPr>
      <w:rFonts w:ascii="Arial" w:hAnsi="Arial" w:cs="Arial"/>
      <w:sz w:val="14"/>
      <w:szCs w:val="14"/>
    </w:rPr>
  </w:style>
  <w:style w:type="paragraph" w:styleId="958">
    <w:name w:val="Style7"/>
    <w:basedOn w:val="766"/>
    <w:next w:val="958"/>
    <w:link w:val="766"/>
    <w:uiPriority w:val="99"/>
    <w:pPr>
      <w:jc w:val="center"/>
      <w:spacing w:line="432" w:lineRule="exact"/>
      <w:widowControl w:val="off"/>
    </w:pPr>
    <w:rPr>
      <w:rFonts w:ascii="Arial" w:hAnsi="Arial"/>
    </w:rPr>
  </w:style>
  <w:style w:type="character" w:styleId="959">
    <w:name w:val="Font Style36"/>
    <w:next w:val="959"/>
    <w:link w:val="766"/>
    <w:uiPriority w:val="99"/>
    <w:rPr>
      <w:rFonts w:ascii="Arial" w:hAnsi="Arial" w:cs="Arial"/>
      <w:b/>
      <w:bCs/>
      <w:sz w:val="34"/>
      <w:szCs w:val="34"/>
    </w:rPr>
  </w:style>
  <w:style w:type="paragraph" w:styleId="960">
    <w:name w:val="Тема примечания"/>
    <w:basedOn w:val="828"/>
    <w:next w:val="828"/>
    <w:link w:val="961"/>
    <w:uiPriority w:val="99"/>
    <w:semiHidden/>
    <w:pPr>
      <w:ind w:right="0" w:firstLine="0"/>
      <w:jc w:val="left"/>
      <w:spacing w:after="200" w:line="240" w:lineRule="auto"/>
      <w:widowControl/>
    </w:pPr>
    <w:rPr>
      <w:b/>
      <w:bCs/>
    </w:rPr>
  </w:style>
  <w:style w:type="character" w:styleId="961">
    <w:name w:val="Тема примечания Знак"/>
    <w:next w:val="961"/>
    <w:link w:val="960"/>
    <w:uiPriority w:val="99"/>
    <w:semiHidden/>
    <w:rPr>
      <w:rFonts w:ascii="Times New Roman CYR" w:hAnsi="Times New Roman CYR"/>
      <w:b/>
      <w:bCs/>
      <w:lang w:val="en-US" w:eastAsia="en-US"/>
    </w:rPr>
  </w:style>
  <w:style w:type="character" w:styleId="962">
    <w:name w:val="apple-style-span"/>
    <w:next w:val="962"/>
    <w:link w:val="766"/>
    <w:uiPriority w:val="99"/>
    <w:rPr>
      <w:rFonts w:cs="Times New Roman"/>
    </w:rPr>
  </w:style>
  <w:style w:type="paragraph" w:styleId="963">
    <w:name w:val="Основной текст 21"/>
    <w:basedOn w:val="766"/>
    <w:next w:val="963"/>
    <w:link w:val="766"/>
    <w:uiPriority w:val="99"/>
    <w:pPr>
      <w:ind w:firstLine="709"/>
      <w:jc w:val="both"/>
    </w:pPr>
    <w:rPr>
      <w:szCs w:val="20"/>
    </w:rPr>
  </w:style>
  <w:style w:type="character" w:styleId="964">
    <w:name w:val="Знак концевой сноски"/>
    <w:next w:val="964"/>
    <w:link w:val="766"/>
    <w:uiPriority w:val="99"/>
    <w:semiHidden/>
    <w:rPr>
      <w:rFonts w:cs="Times New Roman"/>
      <w:vertAlign w:val="superscript"/>
    </w:rPr>
  </w:style>
  <w:style w:type="paragraph" w:styleId="965">
    <w:name w:val="Без интервала1"/>
    <w:next w:val="965"/>
    <w:link w:val="766"/>
    <w:uiPriority w:val="99"/>
    <w:pPr>
      <w:ind w:left="924" w:firstLine="357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966">
    <w:name w:val="center1"/>
    <w:basedOn w:val="766"/>
    <w:next w:val="966"/>
    <w:link w:val="766"/>
    <w:pPr>
      <w:spacing w:before="100" w:beforeAutospacing="1" w:after="100" w:afterAutospacing="1"/>
    </w:pPr>
  </w:style>
  <w:style w:type="numbering" w:styleId="967">
    <w:name w:val="Нет списка1"/>
    <w:next w:val="778"/>
    <w:link w:val="766"/>
    <w:uiPriority w:val="99"/>
    <w:semiHidden/>
    <w:unhideWhenUsed/>
  </w:style>
  <w:style w:type="numbering" w:styleId="968">
    <w:name w:val="Нет списка11"/>
    <w:next w:val="778"/>
    <w:link w:val="766"/>
    <w:uiPriority w:val="99"/>
    <w:semiHidden/>
    <w:unhideWhenUsed/>
  </w:style>
  <w:style w:type="table" w:styleId="969">
    <w:name w:val="Сетка таблицы1"/>
    <w:basedOn w:val="777"/>
    <w:next w:val="814"/>
    <w:link w:val="766"/>
    <w:uiPriority w:val="99"/>
    <w:rPr>
      <w:rFonts w:ascii="Times New Roman" w:hAnsi="Times New Roman"/>
    </w:rPr>
    <w:tblPr/>
  </w:style>
  <w:style w:type="numbering" w:styleId="970">
    <w:name w:val="Нет списка2"/>
    <w:next w:val="778"/>
    <w:link w:val="766"/>
    <w:uiPriority w:val="99"/>
    <w:semiHidden/>
    <w:unhideWhenUsed/>
  </w:style>
  <w:style w:type="paragraph" w:styleId="971">
    <w:name w:val="Default"/>
    <w:next w:val="971"/>
    <w:link w:val="766"/>
    <w:pPr>
      <w:ind w:left="924" w:firstLine="357"/>
    </w:pPr>
    <w:rPr>
      <w:rFonts w:ascii="Georgia" w:hAnsi="Georgia" w:cs="Georgia"/>
      <w:color w:val="000000"/>
      <w:sz w:val="24"/>
      <w:szCs w:val="24"/>
      <w:lang w:val="ru-RU" w:eastAsia="ru-RU" w:bidi="ar-SA"/>
    </w:rPr>
  </w:style>
  <w:style w:type="paragraph" w:styleId="972">
    <w:name w:val=".IMAGE"/>
    <w:next w:val="972"/>
    <w:link w:val="766"/>
    <w:uiPriority w:val="99"/>
    <w:pPr>
      <w:ind w:left="924" w:firstLine="357"/>
      <w:widowControl w:val="off"/>
    </w:pPr>
    <w:rPr>
      <w:rFonts w:ascii="Courier New" w:hAnsi="Courier New" w:cs="Courier New"/>
      <w:sz w:val="24"/>
      <w:szCs w:val="24"/>
      <w:lang w:val="ru-RU" w:eastAsia="ru-RU" w:bidi="ar-SA"/>
    </w:rPr>
  </w:style>
  <w:style w:type="paragraph" w:styleId="973">
    <w:name w:val="Список ЕНЭС"/>
    <w:basedOn w:val="766"/>
    <w:next w:val="973"/>
    <w:link w:val="766"/>
    <w:pPr>
      <w:numPr>
        <w:ilvl w:val="0"/>
        <w:numId w:val="8"/>
      </w:numPr>
      <w:jc w:val="both"/>
      <w:tabs>
        <w:tab w:val="left" w:pos="0" w:leader="none"/>
      </w:tabs>
    </w:pPr>
    <w:rPr>
      <w:rFonts w:eastAsia="Calibri"/>
      <w:lang w:eastAsia="en-US"/>
    </w:rPr>
  </w:style>
  <w:style w:type="paragraph" w:styleId="974">
    <w:name w:val="formattext"/>
    <w:basedOn w:val="766"/>
    <w:next w:val="974"/>
    <w:link w:val="766"/>
    <w:pPr>
      <w:spacing w:before="100" w:beforeAutospacing="1" w:after="100" w:afterAutospacing="1"/>
    </w:pPr>
  </w:style>
  <w:style w:type="character" w:styleId="975">
    <w:name w:val="Неразрешенное упоминание1"/>
    <w:next w:val="975"/>
    <w:link w:val="766"/>
    <w:uiPriority w:val="99"/>
    <w:semiHidden/>
    <w:unhideWhenUsed/>
    <w:rPr>
      <w:color w:val="605e5c"/>
      <w:shd w:val="clear" w:color="auto" w:fill="e1dfdd"/>
    </w:rPr>
  </w:style>
  <w:style w:type="paragraph" w:styleId="976">
    <w:name w:val="Рецензия"/>
    <w:next w:val="976"/>
    <w:link w:val="766"/>
    <w:hidden/>
    <w:uiPriority w:val="99"/>
    <w:semiHidden/>
    <w:rPr>
      <w:sz w:val="24"/>
      <w:szCs w:val="24"/>
      <w:lang w:val="ru-RU" w:eastAsia="ru-RU" w:bidi="ar-SA"/>
    </w:rPr>
  </w:style>
  <w:style w:type="paragraph" w:styleId="977">
    <w:name w:val="Оглавление 2"/>
    <w:basedOn w:val="766"/>
    <w:next w:val="766"/>
    <w:link w:val="766"/>
    <w:uiPriority w:val="39"/>
    <w:unhideWhenUsed/>
    <w:pPr>
      <w:ind w:left="240"/>
    </w:pPr>
    <w:rPr>
      <w:rFonts w:ascii="Calibri" w:hAnsi="Calibri" w:cs="Calibri"/>
      <w:smallCaps/>
      <w:sz w:val="20"/>
      <w:szCs w:val="20"/>
    </w:rPr>
  </w:style>
  <w:style w:type="paragraph" w:styleId="978">
    <w:name w:val="Оглавление 3"/>
    <w:basedOn w:val="766"/>
    <w:next w:val="766"/>
    <w:link w:val="766"/>
    <w:uiPriority w:val="39"/>
    <w:unhideWhenUsed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979">
    <w:name w:val="Оглавление 4"/>
    <w:basedOn w:val="766"/>
    <w:next w:val="766"/>
    <w:link w:val="766"/>
    <w:uiPriority w:val="39"/>
    <w:unhideWhenUsed/>
    <w:pPr>
      <w:ind w:left="720"/>
    </w:pPr>
    <w:rPr>
      <w:rFonts w:ascii="Calibri" w:hAnsi="Calibri" w:cs="Calibri"/>
      <w:sz w:val="18"/>
      <w:szCs w:val="18"/>
    </w:rPr>
  </w:style>
  <w:style w:type="paragraph" w:styleId="980">
    <w:name w:val="Оглавление 5"/>
    <w:basedOn w:val="766"/>
    <w:next w:val="766"/>
    <w:link w:val="766"/>
    <w:uiPriority w:val="39"/>
    <w:unhideWhenUsed/>
    <w:pPr>
      <w:ind w:left="960"/>
    </w:pPr>
    <w:rPr>
      <w:rFonts w:ascii="Calibri" w:hAnsi="Calibri" w:cs="Calibri"/>
      <w:sz w:val="18"/>
      <w:szCs w:val="18"/>
    </w:rPr>
  </w:style>
  <w:style w:type="paragraph" w:styleId="981">
    <w:name w:val="Оглавление 6"/>
    <w:basedOn w:val="766"/>
    <w:next w:val="766"/>
    <w:link w:val="766"/>
    <w:uiPriority w:val="39"/>
    <w:unhideWhenUsed/>
    <w:pPr>
      <w:ind w:left="1200"/>
    </w:pPr>
    <w:rPr>
      <w:rFonts w:ascii="Calibri" w:hAnsi="Calibri" w:cs="Calibri"/>
      <w:sz w:val="18"/>
      <w:szCs w:val="18"/>
    </w:rPr>
  </w:style>
  <w:style w:type="paragraph" w:styleId="982">
    <w:name w:val="Оглавление 7"/>
    <w:basedOn w:val="766"/>
    <w:next w:val="766"/>
    <w:link w:val="766"/>
    <w:uiPriority w:val="39"/>
    <w:unhideWhenUsed/>
    <w:pPr>
      <w:ind w:left="1440"/>
    </w:pPr>
    <w:rPr>
      <w:rFonts w:ascii="Calibri" w:hAnsi="Calibri" w:cs="Calibri"/>
      <w:sz w:val="18"/>
      <w:szCs w:val="18"/>
    </w:rPr>
  </w:style>
  <w:style w:type="paragraph" w:styleId="983">
    <w:name w:val="Оглавление 8"/>
    <w:basedOn w:val="766"/>
    <w:next w:val="766"/>
    <w:link w:val="766"/>
    <w:uiPriority w:val="39"/>
    <w:unhideWhenUsed/>
    <w:pPr>
      <w:ind w:left="1680"/>
    </w:pPr>
    <w:rPr>
      <w:rFonts w:ascii="Calibri" w:hAnsi="Calibri" w:cs="Calibri"/>
      <w:sz w:val="18"/>
      <w:szCs w:val="18"/>
    </w:rPr>
  </w:style>
  <w:style w:type="paragraph" w:styleId="984">
    <w:name w:val="Оглавление 9"/>
    <w:basedOn w:val="766"/>
    <w:next w:val="766"/>
    <w:link w:val="766"/>
    <w:uiPriority w:val="39"/>
    <w:unhideWhenUsed/>
    <w:pPr>
      <w:ind w:left="1920"/>
    </w:pPr>
    <w:rPr>
      <w:rFonts w:ascii="Calibri" w:hAnsi="Calibri" w:cs="Calibri"/>
      <w:sz w:val="18"/>
      <w:szCs w:val="18"/>
    </w:rPr>
  </w:style>
  <w:style w:type="character" w:styleId="985">
    <w:name w:val="Unresolved Mention"/>
    <w:next w:val="985"/>
    <w:link w:val="766"/>
    <w:uiPriority w:val="99"/>
    <w:semiHidden/>
    <w:unhideWhenUsed/>
    <w:rPr>
      <w:color w:val="605e5c"/>
      <w:shd w:val="clear" w:color="auto" w:fill="e1dfdd"/>
    </w:rPr>
  </w:style>
  <w:style w:type="character" w:styleId="7451" w:default="1">
    <w:name w:val="Default Paragraph Font"/>
    <w:uiPriority w:val="1"/>
    <w:semiHidden/>
    <w:unhideWhenUsed/>
  </w:style>
  <w:style w:type="numbering" w:styleId="7452" w:default="1">
    <w:name w:val="No List"/>
    <w:uiPriority w:val="99"/>
    <w:semiHidden/>
    <w:unhideWhenUsed/>
  </w:style>
  <w:style w:type="table" w:styleId="74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image" Target="media/image1.wmf"/><Relationship Id="rId16" Type="http://schemas.openxmlformats.org/officeDocument/2006/relationships/image" Target="media/media1.svg"/><Relationship Id="rId17" Type="http://schemas.openxmlformats.org/officeDocument/2006/relationships/image" Target="media/image2.wmf"/><Relationship Id="rId18" Type="http://schemas.openxmlformats.org/officeDocument/2006/relationships/image" Target="media/media2.svg"/><Relationship Id="rId19" Type="http://schemas.openxmlformats.org/officeDocument/2006/relationships/image" Target="media/image3.emf"/><Relationship Id="rId20" Type="http://schemas.openxmlformats.org/officeDocument/2006/relationships/image" Target="media/media3.svg"/><Relationship Id="rId21" Type="http://schemas.openxmlformats.org/officeDocument/2006/relationships/image" Target="media/image4.emf"/><Relationship Id="rId22" Type="http://schemas.openxmlformats.org/officeDocument/2006/relationships/image" Target="media/media4.svg"/><Relationship Id="rId23" Type="http://schemas.openxmlformats.org/officeDocument/2006/relationships/image" Target="media/image5.emf"/><Relationship Id="rId24" Type="http://schemas.openxmlformats.org/officeDocument/2006/relationships/image" Target="media/media5.svg"/><Relationship Id="rId25" Type="http://schemas.openxmlformats.org/officeDocument/2006/relationships/image" Target="media/image6.emf"/><Relationship Id="rId26" Type="http://schemas.openxmlformats.org/officeDocument/2006/relationships/image" Target="media/media6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PAO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ССГ</dc:creator>
  <cp:lastModifiedBy>rassolov-sg</cp:lastModifiedBy>
  <cp:revision>5</cp:revision>
  <dcterms:created xsi:type="dcterms:W3CDTF">2023-08-25T08:39:00Z</dcterms:created>
  <dcterms:modified xsi:type="dcterms:W3CDTF">2025-07-08T13:57:04Z</dcterms:modified>
  <cp:version>1048576</cp:version>
</cp:coreProperties>
</file>